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BB" w:rsidRPr="00DC53BB" w:rsidRDefault="00DC53BB" w:rsidP="00252BF3">
      <w:pPr>
        <w:spacing w:after="100" w:afterAutospacing="1" w:line="630" w:lineRule="atLeast"/>
        <w:jc w:val="center"/>
        <w:outlineLvl w:val="1"/>
        <w:rPr>
          <w:rFonts w:ascii="Verdana" w:eastAsia="Times New Roman" w:hAnsi="Verdana" w:cs="Segoe UI"/>
          <w:b/>
          <w:bCs/>
          <w:color w:val="212529"/>
          <w:sz w:val="32"/>
          <w:szCs w:val="36"/>
          <w:lang w:eastAsia="en-GB"/>
        </w:rPr>
      </w:pPr>
      <w:r w:rsidRPr="00DC53BB">
        <w:rPr>
          <w:rFonts w:ascii="Verdana" w:eastAsia="Times New Roman" w:hAnsi="Verdana" w:cs="Segoe UI"/>
          <w:b/>
          <w:bCs/>
          <w:color w:val="212529"/>
          <w:sz w:val="32"/>
          <w:szCs w:val="36"/>
          <w:lang w:eastAsia="en-GB"/>
        </w:rPr>
        <w:t xml:space="preserve">The Box </w:t>
      </w:r>
      <w:r w:rsidR="00252BF3" w:rsidRPr="00252BF3">
        <w:rPr>
          <w:rFonts w:ascii="Verdana" w:eastAsia="Times New Roman" w:hAnsi="Verdana" w:cs="Segoe UI"/>
          <w:b/>
          <w:bCs/>
          <w:color w:val="212529"/>
          <w:sz w:val="32"/>
          <w:szCs w:val="36"/>
          <w:lang w:eastAsia="en-GB"/>
        </w:rPr>
        <w:t xml:space="preserve">(Speech, Language and Communication Difficulties in Youth Justice) </w:t>
      </w:r>
      <w:r w:rsidRPr="00DC53BB">
        <w:rPr>
          <w:rFonts w:ascii="Verdana" w:eastAsia="Times New Roman" w:hAnsi="Verdana" w:cs="Segoe UI"/>
          <w:b/>
          <w:bCs/>
          <w:color w:val="212529"/>
          <w:sz w:val="32"/>
          <w:szCs w:val="36"/>
          <w:lang w:eastAsia="en-GB"/>
        </w:rPr>
        <w:t>training</w:t>
      </w:r>
    </w:p>
    <w:p w:rsidR="00252BF3" w:rsidRDefault="00252BF3" w:rsidP="00DC53BB">
      <w:pPr>
        <w:spacing w:after="100" w:afterAutospacing="1" w:line="240" w:lineRule="auto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</w:p>
    <w:p w:rsidR="00DC53BB" w:rsidRPr="00DC53BB" w:rsidRDefault="00DC53BB" w:rsidP="00252BF3">
      <w:pPr>
        <w:spacing w:after="100" w:afterAutospacing="1" w:line="240" w:lineRule="auto"/>
        <w:jc w:val="both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The Box is a free e</w:t>
      </w:r>
      <w:r w:rsidR="00252BF3" w:rsidRPr="00252BF3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-</w:t>
      </w:r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learning tool designed for professionals working in the justice sector.</w:t>
      </w:r>
    </w:p>
    <w:p w:rsidR="00DC53BB" w:rsidRPr="00DC53BB" w:rsidRDefault="00DC53BB" w:rsidP="00252BF3">
      <w:pPr>
        <w:spacing w:after="100" w:afterAutospacing="1" w:line="240" w:lineRule="auto"/>
        <w:jc w:val="both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It is designed to give professionals in the justice system the ability to identify communication issues and the skills to work successfully with individuals who have such issues.</w:t>
      </w:r>
    </w:p>
    <w:p w:rsidR="00DC53BB" w:rsidRPr="00DC53BB" w:rsidRDefault="00DC53BB" w:rsidP="00252BF3">
      <w:pPr>
        <w:spacing w:after="100" w:afterAutospacing="1" w:line="240" w:lineRule="auto"/>
        <w:jc w:val="both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Research shows that a high number of offenders have speech, language and communication needs. Antisocial behaviour, school exclusion and custodial sentences can be a direct result of these needs.</w:t>
      </w:r>
    </w:p>
    <w:p w:rsidR="00DC53BB" w:rsidRPr="00DC53BB" w:rsidRDefault="00DC53BB" w:rsidP="00252BF3">
      <w:pPr>
        <w:spacing w:after="100" w:afterAutospacing="1" w:line="240" w:lineRule="auto"/>
        <w:jc w:val="both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The Box aims to develop your understanding of what communication difficulties are, and the possible impact on the individual and on your work with them.</w:t>
      </w:r>
    </w:p>
    <w:p w:rsidR="00DC53BB" w:rsidRPr="00DC53BB" w:rsidRDefault="00DC53BB" w:rsidP="00252BF3">
      <w:pPr>
        <w:spacing w:after="100" w:afterAutospacing="1" w:line="240" w:lineRule="auto"/>
        <w:jc w:val="both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It can be completed in any order, at your own pace – the modules will save your progress so you do not have to do it all at once.</w:t>
      </w:r>
    </w:p>
    <w:p w:rsidR="00DC53BB" w:rsidRPr="00DC53BB" w:rsidRDefault="00DC53BB" w:rsidP="00252BF3">
      <w:pPr>
        <w:spacing w:after="100" w:afterAutospacing="1" w:line="240" w:lineRule="auto"/>
        <w:jc w:val="both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The course can be </w:t>
      </w:r>
      <w:r w:rsidRPr="00DC53BB">
        <w:rPr>
          <w:rFonts w:ascii="Verdana" w:eastAsia="Times New Roman" w:hAnsi="Verdana" w:cs="Segoe UI"/>
          <w:b/>
          <w:bCs/>
          <w:color w:val="212529"/>
          <w:spacing w:val="5"/>
          <w:sz w:val="24"/>
          <w:szCs w:val="24"/>
          <w:lang w:eastAsia="en-GB"/>
        </w:rPr>
        <w:t>accessed remotely</w:t>
      </w:r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, which:</w:t>
      </w:r>
    </w:p>
    <w:p w:rsidR="00DC53BB" w:rsidRPr="00DC53BB" w:rsidRDefault="00DC53BB" w:rsidP="00252B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saves learner’s time away from work (which is often hard to arrange for those working in the justice system) and</w:t>
      </w:r>
    </w:p>
    <w:p w:rsidR="00DC53BB" w:rsidRPr="00DC53BB" w:rsidRDefault="00DC53BB" w:rsidP="00252B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  <w:proofErr w:type="gramStart"/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saves</w:t>
      </w:r>
      <w:proofErr w:type="gramEnd"/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 xml:space="preserve"> learner’s travel costs, compared to attending a face-to-face course.</w:t>
      </w:r>
    </w:p>
    <w:p w:rsidR="00252BF3" w:rsidRDefault="00DC53BB" w:rsidP="00252BF3">
      <w:pPr>
        <w:spacing w:after="100" w:afterAutospacing="1" w:line="630" w:lineRule="atLeast"/>
        <w:outlineLvl w:val="1"/>
        <w:rPr>
          <w:rFonts w:ascii="Verdana" w:eastAsia="Times New Roman" w:hAnsi="Verdana" w:cs="Segoe UI"/>
          <w:b/>
          <w:bCs/>
          <w:color w:val="212529"/>
          <w:sz w:val="36"/>
          <w:szCs w:val="36"/>
          <w:lang w:eastAsia="en-GB"/>
        </w:rPr>
      </w:pPr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In addition the RCSLT is delighted to be able to offer it free of charge.</w:t>
      </w:r>
      <w:r w:rsidR="00252BF3" w:rsidRPr="00252BF3">
        <w:rPr>
          <w:rFonts w:ascii="Open Sans" w:eastAsia="Times New Roman" w:hAnsi="Open Sans" w:cs="Segoe UI"/>
          <w:b/>
          <w:bCs/>
          <w:color w:val="212529"/>
          <w:sz w:val="36"/>
          <w:szCs w:val="36"/>
          <w:lang w:eastAsia="en-GB"/>
        </w:rPr>
        <w:t xml:space="preserve"> </w:t>
      </w:r>
    </w:p>
    <w:p w:rsidR="00252BF3" w:rsidRPr="00DC53BB" w:rsidRDefault="00252BF3" w:rsidP="00252BF3">
      <w:pPr>
        <w:spacing w:after="100" w:afterAutospacing="1" w:line="240" w:lineRule="auto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To access The Box learning journey, please go to </w:t>
      </w:r>
      <w:hyperlink r:id="rId7" w:history="1">
        <w:r w:rsidRPr="00DC53BB">
          <w:rPr>
            <w:rFonts w:ascii="Verdana" w:eastAsia="Times New Roman" w:hAnsi="Verdana" w:cs="Segoe UI"/>
            <w:b/>
            <w:bCs/>
            <w:color w:val="2F334F"/>
            <w:sz w:val="24"/>
            <w:szCs w:val="24"/>
            <w:u w:val="single"/>
            <w:lang w:eastAsia="en-GB"/>
          </w:rPr>
          <w:t>www.rcsltcpd.org.uk</w:t>
        </w:r>
      </w:hyperlink>
    </w:p>
    <w:p w:rsidR="00DC53BB" w:rsidRPr="00DC53BB" w:rsidRDefault="00DC53BB" w:rsidP="00DC53BB">
      <w:pPr>
        <w:spacing w:after="100" w:afterAutospacing="1" w:line="240" w:lineRule="auto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</w:p>
    <w:p w:rsidR="00252BF3" w:rsidRDefault="00252BF3" w:rsidP="00252BF3">
      <w:pPr>
        <w:spacing w:after="100" w:afterAutospacing="1" w:line="540" w:lineRule="atLeast"/>
        <w:outlineLvl w:val="2"/>
        <w:rPr>
          <w:rFonts w:ascii="Open Sans" w:eastAsia="Times New Roman" w:hAnsi="Open Sans" w:cs="Segoe UI"/>
          <w:b/>
          <w:bCs/>
          <w:color w:val="212529"/>
          <w:sz w:val="27"/>
          <w:szCs w:val="27"/>
          <w:lang w:eastAsia="en-GB"/>
        </w:rPr>
      </w:pPr>
    </w:p>
    <w:p w:rsidR="00252BF3" w:rsidRDefault="00252BF3" w:rsidP="00252BF3">
      <w:pPr>
        <w:spacing w:after="100" w:afterAutospacing="1" w:line="540" w:lineRule="atLeast"/>
        <w:outlineLvl w:val="2"/>
        <w:rPr>
          <w:rFonts w:ascii="Open Sans" w:eastAsia="Times New Roman" w:hAnsi="Open Sans" w:cs="Segoe UI"/>
          <w:b/>
          <w:bCs/>
          <w:color w:val="212529"/>
          <w:sz w:val="27"/>
          <w:szCs w:val="27"/>
          <w:lang w:eastAsia="en-GB"/>
        </w:rPr>
      </w:pPr>
    </w:p>
    <w:p w:rsidR="00252BF3" w:rsidRPr="00DC53BB" w:rsidRDefault="00252BF3" w:rsidP="00252BF3">
      <w:pPr>
        <w:spacing w:after="100" w:afterAutospacing="1" w:line="540" w:lineRule="atLeast"/>
        <w:outlineLvl w:val="2"/>
        <w:rPr>
          <w:rFonts w:ascii="Verdana" w:eastAsia="Times New Roman" w:hAnsi="Verdana" w:cs="Segoe UI"/>
          <w:b/>
          <w:bCs/>
          <w:color w:val="212529"/>
          <w:sz w:val="27"/>
          <w:szCs w:val="27"/>
          <w:lang w:eastAsia="en-GB"/>
        </w:rPr>
      </w:pPr>
      <w:r w:rsidRPr="00DC53BB">
        <w:rPr>
          <w:rFonts w:ascii="Verdana" w:eastAsia="Times New Roman" w:hAnsi="Verdana" w:cs="Segoe UI"/>
          <w:b/>
          <w:bCs/>
          <w:color w:val="212529"/>
          <w:sz w:val="27"/>
          <w:szCs w:val="27"/>
          <w:lang w:eastAsia="en-GB"/>
        </w:rPr>
        <w:lastRenderedPageBreak/>
        <w:t>Open The Box to:</w:t>
      </w:r>
    </w:p>
    <w:p w:rsidR="00DC53BB" w:rsidRPr="00DC53BB" w:rsidRDefault="00DC53BB" w:rsidP="00DC53BB">
      <w:pPr>
        <w:numPr>
          <w:ilvl w:val="0"/>
          <w:numId w:val="2"/>
        </w:numPr>
        <w:spacing w:after="300" w:line="240" w:lineRule="auto"/>
        <w:ind w:left="0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Develop your knowledge and understanding of SLCN – what they are and the effect they can have on someone’s behaviour</w:t>
      </w:r>
    </w:p>
    <w:p w:rsidR="00DC53BB" w:rsidRPr="00DC53BB" w:rsidRDefault="00DC53BB" w:rsidP="00DC53BB">
      <w:pPr>
        <w:numPr>
          <w:ilvl w:val="0"/>
          <w:numId w:val="2"/>
        </w:numPr>
        <w:spacing w:after="300" w:line="240" w:lineRule="auto"/>
        <w:ind w:left="0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Recognise the signs that someone may have SLCN, and know where to go for further support</w:t>
      </w:r>
    </w:p>
    <w:p w:rsidR="00DC53BB" w:rsidRPr="00DC53BB" w:rsidRDefault="00DC53BB" w:rsidP="00DC53BB">
      <w:pPr>
        <w:numPr>
          <w:ilvl w:val="0"/>
          <w:numId w:val="2"/>
        </w:numPr>
        <w:spacing w:after="300" w:line="240" w:lineRule="auto"/>
        <w:ind w:left="0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Find out how to use screening tools to check for SLCN</w:t>
      </w:r>
    </w:p>
    <w:p w:rsidR="00DC53BB" w:rsidRPr="00DC53BB" w:rsidRDefault="00DC53BB" w:rsidP="00DC53BB">
      <w:pPr>
        <w:numPr>
          <w:ilvl w:val="0"/>
          <w:numId w:val="2"/>
        </w:numPr>
        <w:spacing w:after="300" w:line="240" w:lineRule="auto"/>
        <w:ind w:left="0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Learn how to apply different support strategies to help people with SLCN to understand and engage in the justice process</w:t>
      </w:r>
    </w:p>
    <w:p w:rsidR="00DC53BB" w:rsidRPr="00DC53BB" w:rsidRDefault="00DC53BB" w:rsidP="00DC53BB">
      <w:pPr>
        <w:numPr>
          <w:ilvl w:val="0"/>
          <w:numId w:val="2"/>
        </w:numPr>
        <w:spacing w:after="300" w:line="240" w:lineRule="auto"/>
        <w:ind w:left="0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  <w:r w:rsidRPr="00DC53BB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Understand the legal responsibilities and how they apply to you and your work with people with SLCN</w:t>
      </w:r>
    </w:p>
    <w:p w:rsidR="00DF0B75" w:rsidRDefault="00DF0B75" w:rsidP="00252BF3">
      <w:pPr>
        <w:spacing w:after="100" w:afterAutospacing="1" w:line="630" w:lineRule="atLeast"/>
        <w:outlineLvl w:val="1"/>
        <w:rPr>
          <w:rFonts w:ascii="Verdana" w:eastAsia="Times New Roman" w:hAnsi="Verdana" w:cs="Segoe UI"/>
          <w:b/>
          <w:bCs/>
          <w:color w:val="212529"/>
          <w:sz w:val="36"/>
          <w:szCs w:val="36"/>
          <w:lang w:eastAsia="en-GB"/>
        </w:rPr>
      </w:pPr>
    </w:p>
    <w:p w:rsidR="00DC53BB" w:rsidRPr="00252BF3" w:rsidRDefault="00DF0B75" w:rsidP="00252BF3">
      <w:pPr>
        <w:spacing w:after="100" w:afterAutospacing="1" w:line="630" w:lineRule="atLeast"/>
        <w:outlineLvl w:val="1"/>
        <w:rPr>
          <w:rFonts w:ascii="Verdana" w:eastAsia="Times New Roman" w:hAnsi="Verdana" w:cs="Segoe UI"/>
          <w:b/>
          <w:bCs/>
          <w:color w:val="212529"/>
          <w:sz w:val="36"/>
          <w:szCs w:val="36"/>
          <w:lang w:eastAsia="en-GB"/>
        </w:rPr>
      </w:pPr>
      <w:bookmarkStart w:id="0" w:name="_GoBack"/>
      <w:bookmarkEnd w:id="0"/>
      <w:r>
        <w:rPr>
          <w:rFonts w:ascii="Verdana" w:eastAsia="Times New Roman" w:hAnsi="Verdana" w:cs="Segoe UI"/>
          <w:b/>
          <w:bCs/>
          <w:color w:val="212529"/>
          <w:sz w:val="36"/>
          <w:szCs w:val="36"/>
          <w:lang w:eastAsia="en-GB"/>
        </w:rPr>
        <w:t>D</w:t>
      </w:r>
      <w:r w:rsidR="00DC53BB" w:rsidRPr="00252BF3">
        <w:rPr>
          <w:rFonts w:ascii="Verdana" w:eastAsia="Times New Roman" w:hAnsi="Verdana" w:cs="Segoe UI"/>
          <w:b/>
          <w:bCs/>
          <w:color w:val="212529"/>
          <w:sz w:val="36"/>
          <w:szCs w:val="36"/>
          <w:lang w:eastAsia="en-GB"/>
        </w:rPr>
        <w:t xml:space="preserve">elve inside </w:t>
      </w:r>
      <w:r w:rsidR="003E35FD">
        <w:rPr>
          <w:rFonts w:ascii="Verdana" w:eastAsia="Times New Roman" w:hAnsi="Verdana" w:cs="Segoe UI"/>
          <w:b/>
          <w:bCs/>
          <w:color w:val="212529"/>
          <w:sz w:val="36"/>
          <w:szCs w:val="36"/>
          <w:lang w:eastAsia="en-GB"/>
        </w:rPr>
        <w:t>‘</w:t>
      </w:r>
      <w:r w:rsidR="00DC53BB" w:rsidRPr="00252BF3">
        <w:rPr>
          <w:rFonts w:ascii="Verdana" w:eastAsia="Times New Roman" w:hAnsi="Verdana" w:cs="Segoe UI"/>
          <w:b/>
          <w:bCs/>
          <w:color w:val="212529"/>
          <w:sz w:val="36"/>
          <w:szCs w:val="36"/>
          <w:lang w:eastAsia="en-GB"/>
        </w:rPr>
        <w:t>The Box</w:t>
      </w:r>
      <w:r w:rsidR="003E35FD">
        <w:rPr>
          <w:rFonts w:ascii="Verdana" w:eastAsia="Times New Roman" w:hAnsi="Verdana" w:cs="Segoe UI"/>
          <w:b/>
          <w:bCs/>
          <w:color w:val="212529"/>
          <w:sz w:val="36"/>
          <w:szCs w:val="36"/>
          <w:lang w:eastAsia="en-GB"/>
        </w:rPr>
        <w:t>’</w:t>
      </w:r>
    </w:p>
    <w:p w:rsidR="00DC53BB" w:rsidRPr="00252BF3" w:rsidRDefault="00DC53BB" w:rsidP="00252BF3">
      <w:pPr>
        <w:spacing w:after="100" w:afterAutospacing="1" w:line="240" w:lineRule="auto"/>
        <w:rPr>
          <w:rFonts w:ascii="Verdana" w:eastAsia="Times New Roman" w:hAnsi="Verdana" w:cs="Segoe UI"/>
          <w:color w:val="212529"/>
          <w:sz w:val="24"/>
          <w:szCs w:val="24"/>
          <w:lang w:eastAsia="en-GB"/>
        </w:rPr>
      </w:pPr>
      <w:r w:rsidRPr="00252BF3">
        <w:rPr>
          <w:rFonts w:ascii="Verdana" w:eastAsia="Times New Roman" w:hAnsi="Verdana" w:cs="Segoe UI"/>
          <w:color w:val="212529"/>
          <w:sz w:val="24"/>
          <w:szCs w:val="24"/>
          <w:lang w:eastAsia="en-GB"/>
        </w:rPr>
        <w:t>The Box contain a series of modules from which people can choose.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5088"/>
      </w:tblGrid>
      <w:tr w:rsidR="00DC53BB" w:rsidRPr="00DC53BB" w:rsidTr="00252BF3">
        <w:tc>
          <w:tcPr>
            <w:tcW w:w="0" w:type="auto"/>
            <w:hideMark/>
          </w:tcPr>
          <w:p w:rsidR="003E35FD" w:rsidRDefault="003E35FD" w:rsidP="003E35F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bCs/>
                <w:color w:val="212529"/>
                <w:spacing w:val="5"/>
                <w:sz w:val="24"/>
                <w:szCs w:val="24"/>
                <w:lang w:eastAsia="en-GB"/>
              </w:rPr>
            </w:pPr>
          </w:p>
          <w:p w:rsidR="00DC53BB" w:rsidRDefault="00DC53BB" w:rsidP="003E35F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bCs/>
                <w:color w:val="212529"/>
                <w:spacing w:val="5"/>
                <w:sz w:val="24"/>
                <w:szCs w:val="24"/>
                <w:lang w:eastAsia="en-GB"/>
              </w:rPr>
            </w:pPr>
            <w:r w:rsidRPr="00252BF3">
              <w:rPr>
                <w:rFonts w:ascii="Verdana" w:eastAsia="Times New Roman" w:hAnsi="Verdana" w:cs="Segoe UI"/>
                <w:b/>
                <w:bCs/>
                <w:color w:val="212529"/>
                <w:spacing w:val="5"/>
                <w:sz w:val="24"/>
                <w:szCs w:val="24"/>
                <w:lang w:eastAsia="en-GB"/>
              </w:rPr>
              <w:t>Module</w:t>
            </w:r>
          </w:p>
          <w:p w:rsidR="003E35FD" w:rsidRPr="00DC53BB" w:rsidRDefault="003E35FD" w:rsidP="003E35F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3E35FD" w:rsidRDefault="003E35FD" w:rsidP="003E35F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b/>
                <w:bCs/>
                <w:color w:val="212529"/>
                <w:spacing w:val="5"/>
                <w:sz w:val="24"/>
                <w:szCs w:val="24"/>
                <w:lang w:eastAsia="en-GB"/>
              </w:rPr>
            </w:pPr>
          </w:p>
          <w:p w:rsidR="00DC53BB" w:rsidRPr="00DC53BB" w:rsidRDefault="00DC53BB" w:rsidP="003E35FD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252BF3">
              <w:rPr>
                <w:rFonts w:ascii="Verdana" w:eastAsia="Times New Roman" w:hAnsi="Verdana" w:cs="Segoe UI"/>
                <w:b/>
                <w:bCs/>
                <w:color w:val="212529"/>
                <w:spacing w:val="5"/>
                <w:sz w:val="24"/>
                <w:szCs w:val="24"/>
                <w:lang w:eastAsia="en-GB"/>
              </w:rPr>
              <w:t>Sub module</w:t>
            </w:r>
          </w:p>
        </w:tc>
      </w:tr>
      <w:tr w:rsidR="00DC53BB" w:rsidRPr="00DC53BB" w:rsidTr="00252BF3">
        <w:tc>
          <w:tcPr>
            <w:tcW w:w="0" w:type="auto"/>
            <w:vMerge w:val="restart"/>
            <w:shd w:val="clear" w:color="auto" w:fill="BDD6EE" w:themeFill="accent1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1. Introduction to SLCN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To raise awareness of SLCN and who it can impact</w:t>
            </w:r>
          </w:p>
        </w:tc>
      </w:tr>
      <w:tr w:rsidR="00DC53BB" w:rsidRPr="00DC53BB" w:rsidTr="00252BF3">
        <w:tc>
          <w:tcPr>
            <w:tcW w:w="0" w:type="auto"/>
            <w:vMerge/>
            <w:shd w:val="clear" w:color="auto" w:fill="BDD6EE" w:themeFill="accent1" w:themeFillTint="66"/>
            <w:vAlign w:val="center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Why is it important to recognise individuals with SLCN?</w:t>
            </w:r>
          </w:p>
        </w:tc>
      </w:tr>
      <w:tr w:rsidR="00DC53BB" w:rsidRPr="00DC53BB" w:rsidTr="00252BF3">
        <w:tc>
          <w:tcPr>
            <w:tcW w:w="0" w:type="auto"/>
            <w:vMerge/>
            <w:shd w:val="clear" w:color="auto" w:fill="BDD6EE" w:themeFill="accent1" w:themeFillTint="66"/>
            <w:vAlign w:val="center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To further raise awareness and understanding of SLCN and their complexity</w:t>
            </w:r>
          </w:p>
        </w:tc>
      </w:tr>
      <w:tr w:rsidR="00DC53BB" w:rsidRPr="00DC53BB" w:rsidTr="00252BF3">
        <w:tc>
          <w:tcPr>
            <w:tcW w:w="0" w:type="auto"/>
            <w:vMerge w:val="restart"/>
            <w:shd w:val="clear" w:color="auto" w:fill="F7CAAC" w:themeFill="accent2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2. Recognising individuals with SLCN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To be able to recognise individuals with SLCN</w:t>
            </w:r>
          </w:p>
        </w:tc>
      </w:tr>
      <w:tr w:rsidR="00DC53BB" w:rsidRPr="00DC53BB" w:rsidTr="00252BF3">
        <w:tc>
          <w:tcPr>
            <w:tcW w:w="0" w:type="auto"/>
            <w:vMerge/>
            <w:shd w:val="clear" w:color="auto" w:fill="F7CAAC" w:themeFill="accent2" w:themeFillTint="66"/>
            <w:vAlign w:val="center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To understand the potential impact of SLCN on an individual</w:t>
            </w:r>
          </w:p>
        </w:tc>
      </w:tr>
      <w:tr w:rsidR="00DC53BB" w:rsidRPr="00DC53BB" w:rsidTr="00252BF3">
        <w:tc>
          <w:tcPr>
            <w:tcW w:w="0" w:type="auto"/>
            <w:vMerge w:val="restart"/>
            <w:shd w:val="clear" w:color="auto" w:fill="C5E0B3" w:themeFill="accent6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3. SLCN – why does it happen?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To be aware of the research into the communication needs of offenders</w:t>
            </w:r>
          </w:p>
        </w:tc>
      </w:tr>
      <w:tr w:rsidR="00DC53BB" w:rsidRPr="00DC53BB" w:rsidTr="00252BF3"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To be aware of interrelated issues</w:t>
            </w:r>
          </w:p>
        </w:tc>
      </w:tr>
      <w:tr w:rsidR="00DC53BB" w:rsidRPr="00DC53BB" w:rsidTr="00252BF3">
        <w:tc>
          <w:tcPr>
            <w:tcW w:w="0" w:type="auto"/>
            <w:vMerge w:val="restart"/>
            <w:shd w:val="clear" w:color="auto" w:fill="BDD6EE" w:themeFill="accent1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4. Understanding communication breakdown</w:t>
            </w:r>
          </w:p>
          <w:p w:rsidR="00DC53BB" w:rsidRPr="00DC53BB" w:rsidRDefault="00DC53BB" w:rsidP="00DC53BB">
            <w:pPr>
              <w:spacing w:after="100" w:afterAutospacing="1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lastRenderedPageBreak/>
              <w:t>(to improve interaction/relationships)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lastRenderedPageBreak/>
              <w:t>To understand how communication may breakdown</w:t>
            </w:r>
          </w:p>
        </w:tc>
      </w:tr>
      <w:tr w:rsidR="00DC53BB" w:rsidRPr="00DC53BB" w:rsidTr="00252BF3">
        <w:tc>
          <w:tcPr>
            <w:tcW w:w="0" w:type="auto"/>
            <w:vMerge/>
            <w:shd w:val="clear" w:color="auto" w:fill="BDD6EE" w:themeFill="accent1" w:themeFillTint="66"/>
            <w:vAlign w:val="center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To practice managing communication breakdown</w:t>
            </w:r>
          </w:p>
        </w:tc>
      </w:tr>
      <w:tr w:rsidR="00DC53BB" w:rsidRPr="00DC53BB" w:rsidTr="00252BF3">
        <w:tc>
          <w:tcPr>
            <w:tcW w:w="0" w:type="auto"/>
            <w:vMerge w:val="restart"/>
            <w:shd w:val="clear" w:color="auto" w:fill="F7CAAC" w:themeFill="accent2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5. Screening for SLCN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To be able to screen for SLCN</w:t>
            </w:r>
          </w:p>
        </w:tc>
      </w:tr>
      <w:tr w:rsidR="00DC53BB" w:rsidRPr="00DC53BB" w:rsidTr="00252BF3">
        <w:tc>
          <w:tcPr>
            <w:tcW w:w="0" w:type="auto"/>
            <w:vMerge/>
            <w:shd w:val="clear" w:color="auto" w:fill="F7CAAC" w:themeFill="accent2" w:themeFillTint="66"/>
            <w:vAlign w:val="center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 xml:space="preserve">RCSLT &amp; </w:t>
            </w:r>
            <w:proofErr w:type="spellStart"/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AssetPlus</w:t>
            </w:r>
            <w:proofErr w:type="spellEnd"/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 xml:space="preserve"> screen (a screening tool for SLCN and neuro-disability)</w:t>
            </w:r>
          </w:p>
        </w:tc>
      </w:tr>
      <w:tr w:rsidR="00DC53BB" w:rsidRPr="00DC53BB" w:rsidTr="00252BF3">
        <w:tc>
          <w:tcPr>
            <w:tcW w:w="0" w:type="auto"/>
            <w:shd w:val="clear" w:color="auto" w:fill="C5E0B3" w:themeFill="accent6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6. Accessible information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To be able to design and adapt written information to make it more accessible</w:t>
            </w:r>
          </w:p>
        </w:tc>
      </w:tr>
      <w:tr w:rsidR="00DC53BB" w:rsidRPr="00DC53BB" w:rsidTr="003E35FD">
        <w:tc>
          <w:tcPr>
            <w:tcW w:w="0" w:type="auto"/>
            <w:shd w:val="clear" w:color="auto" w:fill="BDD6EE" w:themeFill="accent1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7. Language strategies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How to support an individual with SLCN (using language strategies)</w:t>
            </w:r>
          </w:p>
        </w:tc>
      </w:tr>
      <w:tr w:rsidR="00DC53BB" w:rsidRPr="00DC53BB" w:rsidTr="003E35FD">
        <w:tc>
          <w:tcPr>
            <w:tcW w:w="0" w:type="auto"/>
            <w:shd w:val="clear" w:color="auto" w:fill="F7CAAC" w:themeFill="accent2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8. Visual strategies</w:t>
            </w:r>
          </w:p>
        </w:tc>
        <w:tc>
          <w:tcPr>
            <w:tcW w:w="0" w:type="auto"/>
            <w:shd w:val="clear" w:color="auto" w:fill="F7CAAC" w:themeFill="accent2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How to support an individual with SLCN (using visual strategies)</w:t>
            </w:r>
          </w:p>
        </w:tc>
      </w:tr>
      <w:tr w:rsidR="00DC53BB" w:rsidRPr="00DC53BB" w:rsidTr="003E35FD">
        <w:tc>
          <w:tcPr>
            <w:tcW w:w="0" w:type="auto"/>
            <w:vMerge w:val="restart"/>
            <w:shd w:val="clear" w:color="auto" w:fill="C5E0B3" w:themeFill="accent6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9. Legislative responsibility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To understand the support available at the Police station and why this may be required</w:t>
            </w:r>
          </w:p>
        </w:tc>
      </w:tr>
      <w:tr w:rsidR="00DC53BB" w:rsidRPr="00DC53BB" w:rsidTr="003E35FD"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To understand the support available at Court and why this may be required</w:t>
            </w:r>
          </w:p>
        </w:tc>
      </w:tr>
      <w:tr w:rsidR="00DC53BB" w:rsidRPr="00DC53BB" w:rsidTr="003E35FD">
        <w:tc>
          <w:tcPr>
            <w:tcW w:w="0" w:type="auto"/>
            <w:vMerge/>
            <w:shd w:val="clear" w:color="auto" w:fill="C5E0B3" w:themeFill="accent6" w:themeFillTint="66"/>
            <w:vAlign w:val="center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To understand how SEN legislation applies in the CJS</w:t>
            </w:r>
          </w:p>
        </w:tc>
      </w:tr>
      <w:tr w:rsidR="00DC53BB" w:rsidRPr="00DC53BB" w:rsidTr="003E35FD">
        <w:tc>
          <w:tcPr>
            <w:tcW w:w="0" w:type="auto"/>
            <w:vMerge w:val="restart"/>
            <w:shd w:val="clear" w:color="auto" w:fill="BDD6EE" w:themeFill="accent1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10. Commissioning a service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Understanding the evidence which demonstrates the need for SLT services in the CJS</w:t>
            </w:r>
          </w:p>
        </w:tc>
      </w:tr>
      <w:tr w:rsidR="00DC53BB" w:rsidRPr="00DC53BB" w:rsidTr="003E35FD">
        <w:tc>
          <w:tcPr>
            <w:tcW w:w="0" w:type="auto"/>
            <w:vMerge/>
            <w:shd w:val="clear" w:color="auto" w:fill="BDD6EE" w:themeFill="accent1" w:themeFillTint="66"/>
            <w:vAlign w:val="center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Practical guidance on developing a bid for SLT input</w:t>
            </w:r>
          </w:p>
        </w:tc>
      </w:tr>
      <w:tr w:rsidR="00DC53BB" w:rsidRPr="00DC53BB" w:rsidTr="003E35FD">
        <w:tc>
          <w:tcPr>
            <w:tcW w:w="0" w:type="auto"/>
            <w:vMerge/>
            <w:shd w:val="clear" w:color="auto" w:fill="BDD6EE" w:themeFill="accent1" w:themeFillTint="66"/>
            <w:vAlign w:val="center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DC53BB" w:rsidRPr="00DC53BB" w:rsidRDefault="00DC53BB" w:rsidP="00DC53BB">
            <w:pPr>
              <w:spacing w:after="0" w:line="240" w:lineRule="auto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</w:pPr>
            <w:r w:rsidRPr="00DC53BB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en-GB"/>
              </w:rPr>
              <w:t>Providing links with local services</w:t>
            </w:r>
          </w:p>
        </w:tc>
      </w:tr>
    </w:tbl>
    <w:p w:rsidR="00DC53BB" w:rsidRDefault="00DC53BB"/>
    <w:p w:rsidR="00DC53BB" w:rsidRDefault="00DC53BB"/>
    <w:p w:rsidR="00DC53BB" w:rsidRDefault="00DC53BB"/>
    <w:p w:rsidR="00DC53BB" w:rsidRDefault="00DC53BB"/>
    <w:p w:rsidR="00DC53BB" w:rsidRDefault="00DC53BB"/>
    <w:p w:rsidR="00DC53BB" w:rsidRDefault="00DC53BB"/>
    <w:sectPr w:rsidR="00DC53B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197" w:rsidRDefault="00AF3197" w:rsidP="00252BF3">
      <w:pPr>
        <w:spacing w:after="0" w:line="240" w:lineRule="auto"/>
      </w:pPr>
      <w:r>
        <w:separator/>
      </w:r>
    </w:p>
  </w:endnote>
  <w:endnote w:type="continuationSeparator" w:id="0">
    <w:p w:rsidR="00AF3197" w:rsidRDefault="00AF3197" w:rsidP="0025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197" w:rsidRDefault="00AF3197" w:rsidP="00252BF3">
      <w:pPr>
        <w:spacing w:after="0" w:line="240" w:lineRule="auto"/>
      </w:pPr>
      <w:r>
        <w:separator/>
      </w:r>
    </w:p>
  </w:footnote>
  <w:footnote w:type="continuationSeparator" w:id="0">
    <w:p w:rsidR="00AF3197" w:rsidRDefault="00AF3197" w:rsidP="0025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BF3" w:rsidRDefault="00252BF3" w:rsidP="00252BF3">
    <w:pPr>
      <w:pStyle w:val="Header"/>
      <w:jc w:val="center"/>
    </w:pPr>
    <w:r>
      <w:rPr>
        <w:rFonts w:ascii="Arial" w:hAnsi="Arial" w:cs="Arial"/>
        <w:noProof/>
        <w:color w:val="2962FF"/>
        <w:lang w:eastAsia="en-GB"/>
      </w:rPr>
      <w:drawing>
        <wp:inline distT="0" distB="0" distL="0" distR="0" wp14:anchorId="6B2E9936" wp14:editId="5D820D9C">
          <wp:extent cx="2684497" cy="845820"/>
          <wp:effectExtent l="0" t="0" r="1905" b="0"/>
          <wp:docPr id="1" name="Picture 1" descr="The Box – free online training | RCSLT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Box – free online training | RCSLT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55" b="16528"/>
                  <a:stretch/>
                </pic:blipFill>
                <pic:spPr bwMode="auto">
                  <a:xfrm>
                    <a:off x="0" y="0"/>
                    <a:ext cx="2690969" cy="847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AC4"/>
    <w:multiLevelType w:val="multilevel"/>
    <w:tmpl w:val="9A0E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3614E"/>
    <w:multiLevelType w:val="multilevel"/>
    <w:tmpl w:val="8ED4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BB"/>
    <w:rsid w:val="00252BF3"/>
    <w:rsid w:val="003E35FD"/>
    <w:rsid w:val="0085619F"/>
    <w:rsid w:val="00AF3197"/>
    <w:rsid w:val="00DC53BB"/>
    <w:rsid w:val="00D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125D1"/>
  <w15:chartTrackingRefBased/>
  <w15:docId w15:val="{3396C6D0-9A70-462C-81F5-C9636A8B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53BB"/>
    <w:pPr>
      <w:spacing w:after="100" w:afterAutospacing="1" w:line="630" w:lineRule="atLeast"/>
      <w:outlineLvl w:val="1"/>
    </w:pPr>
    <w:rPr>
      <w:rFonts w:ascii="Open Sans" w:eastAsia="Times New Roman" w:hAnsi="Open Sans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53BB"/>
    <w:rPr>
      <w:rFonts w:ascii="Open Sans" w:eastAsia="Times New Roman" w:hAnsi="Open Sans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C53BB"/>
    <w:rPr>
      <w:b/>
      <w:bCs/>
      <w:spacing w:val="5"/>
    </w:rPr>
  </w:style>
  <w:style w:type="paragraph" w:styleId="NormalWeb">
    <w:name w:val="Normal (Web)"/>
    <w:basedOn w:val="Normal"/>
    <w:uiPriority w:val="99"/>
    <w:semiHidden/>
    <w:unhideWhenUsed/>
    <w:rsid w:val="00DC53B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C5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BF3"/>
  </w:style>
  <w:style w:type="paragraph" w:styleId="Footer">
    <w:name w:val="footer"/>
    <w:basedOn w:val="Normal"/>
    <w:link w:val="FooterChar"/>
    <w:uiPriority w:val="99"/>
    <w:unhideWhenUsed/>
    <w:rsid w:val="00252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csltcpd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.uk/url?sa=i&amp;url=https%3A%2F%2Fwww.rcslt.org%2Flearning%2Fthe-box-training%2F&amp;psig=AOvVaw37Ogoy3c_WHIPcGa63DZ7H&amp;ust=1632843464041000&amp;source=images&amp;cd=vfe&amp;ved=0CAkQjRxqFwoTCMir3oe-n_M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Jenkins</dc:creator>
  <cp:keywords/>
  <dc:description/>
  <cp:lastModifiedBy>Kim Jenkins</cp:lastModifiedBy>
  <cp:revision>2</cp:revision>
  <dcterms:created xsi:type="dcterms:W3CDTF">2021-09-27T14:31:00Z</dcterms:created>
  <dcterms:modified xsi:type="dcterms:W3CDTF">2021-09-27T16:07:00Z</dcterms:modified>
</cp:coreProperties>
</file>