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AA9" w:rsidRPr="00431AA9" w:rsidRDefault="00431AA9" w:rsidP="00431AA9">
      <w:pPr>
        <w:pStyle w:val="NoSpacing"/>
        <w:jc w:val="center"/>
        <w:rPr>
          <w:rFonts w:ascii="Verdana" w:hAnsi="Verdana"/>
          <w:b/>
          <w:sz w:val="36"/>
          <w:szCs w:val="36"/>
          <w:lang w:eastAsia="en-GB"/>
        </w:rPr>
      </w:pPr>
      <w:r w:rsidRPr="00431AA9">
        <w:rPr>
          <w:rFonts w:ascii="Verdana" w:hAnsi="Verdana"/>
          <w:b/>
          <w:sz w:val="36"/>
          <w:szCs w:val="36"/>
          <w:lang w:eastAsia="en-GB"/>
        </w:rPr>
        <w:t>Mind Your Words</w:t>
      </w:r>
    </w:p>
    <w:p w:rsidR="00431AA9" w:rsidRDefault="00431AA9" w:rsidP="00431AA9">
      <w:pPr>
        <w:pStyle w:val="NoSpacing"/>
        <w:jc w:val="center"/>
        <w:rPr>
          <w:rFonts w:ascii="Verdana" w:hAnsi="Verdana"/>
          <w:b/>
          <w:sz w:val="36"/>
          <w:szCs w:val="36"/>
          <w:lang w:eastAsia="en-GB"/>
        </w:rPr>
      </w:pPr>
      <w:r>
        <w:rPr>
          <w:rFonts w:ascii="Verdana" w:hAnsi="Verdana"/>
          <w:b/>
          <w:sz w:val="36"/>
          <w:szCs w:val="36"/>
          <w:lang w:eastAsia="en-GB"/>
        </w:rPr>
        <w:t>(</w:t>
      </w:r>
      <w:r w:rsidRPr="00431AA9">
        <w:rPr>
          <w:rFonts w:ascii="Verdana" w:hAnsi="Verdana"/>
          <w:b/>
          <w:sz w:val="36"/>
          <w:szCs w:val="36"/>
          <w:lang w:eastAsia="en-GB"/>
        </w:rPr>
        <w:t>SEMH and SLCN</w:t>
      </w:r>
      <w:r>
        <w:rPr>
          <w:rFonts w:ascii="Verdana" w:hAnsi="Verdana"/>
          <w:b/>
          <w:sz w:val="36"/>
          <w:szCs w:val="36"/>
          <w:lang w:eastAsia="en-GB"/>
        </w:rPr>
        <w:t xml:space="preserve"> Training)</w:t>
      </w:r>
    </w:p>
    <w:p w:rsidR="00431AA9" w:rsidRPr="00431AA9" w:rsidRDefault="00431AA9" w:rsidP="00431AA9">
      <w:pPr>
        <w:pStyle w:val="NoSpacing"/>
        <w:jc w:val="center"/>
        <w:rPr>
          <w:rFonts w:ascii="Verdana" w:hAnsi="Verdana"/>
          <w:b/>
          <w:sz w:val="36"/>
          <w:szCs w:val="36"/>
          <w:lang w:eastAsia="en-GB"/>
        </w:rPr>
      </w:pPr>
    </w:p>
    <w:p w:rsidR="00431AA9" w:rsidRPr="00431AA9" w:rsidRDefault="00431AA9" w:rsidP="00431AA9">
      <w:pPr>
        <w:spacing w:after="100" w:afterAutospacing="1" w:line="240" w:lineRule="auto"/>
        <w:jc w:val="both"/>
        <w:rPr>
          <w:rFonts w:ascii="Verdana" w:eastAsia="Times New Roman" w:hAnsi="Verdana" w:cs="Segoe UI"/>
          <w:sz w:val="24"/>
          <w:szCs w:val="24"/>
          <w:lang w:eastAsia="en-GB"/>
        </w:rPr>
      </w:pPr>
      <w:r w:rsidRPr="00431AA9">
        <w:rPr>
          <w:rFonts w:ascii="Verdana" w:eastAsia="Times New Roman" w:hAnsi="Verdana" w:cs="Segoe UI"/>
          <w:sz w:val="24"/>
          <w:szCs w:val="24"/>
          <w:lang w:eastAsia="en-GB"/>
        </w:rPr>
        <w:t>Mind Your Words (children and young people’s mental health) is a free e-learning tool designed for professionals working with children and young people.</w:t>
      </w:r>
    </w:p>
    <w:p w:rsidR="00431AA9" w:rsidRPr="00431AA9" w:rsidRDefault="00431AA9" w:rsidP="00431AA9">
      <w:pPr>
        <w:spacing w:after="100" w:afterAutospacing="1" w:line="240" w:lineRule="auto"/>
        <w:jc w:val="both"/>
        <w:rPr>
          <w:rFonts w:ascii="Verdana" w:eastAsia="Times New Roman" w:hAnsi="Verdana" w:cs="Segoe UI"/>
          <w:sz w:val="24"/>
          <w:szCs w:val="24"/>
          <w:lang w:eastAsia="en-GB"/>
        </w:rPr>
      </w:pPr>
      <w:r w:rsidRPr="00431AA9">
        <w:rPr>
          <w:rFonts w:ascii="Verdana" w:eastAsia="Times New Roman" w:hAnsi="Verdana" w:cs="Segoe UI"/>
          <w:sz w:val="24"/>
          <w:szCs w:val="24"/>
          <w:lang w:eastAsia="en-GB"/>
        </w:rPr>
        <w:t xml:space="preserve">The tool aims to improve understanding of children and young people who have </w:t>
      </w:r>
      <w:r>
        <w:rPr>
          <w:rFonts w:ascii="Verdana" w:eastAsia="Times New Roman" w:hAnsi="Verdana" w:cs="Segoe UI"/>
          <w:sz w:val="24"/>
          <w:szCs w:val="24"/>
          <w:lang w:eastAsia="en-GB"/>
        </w:rPr>
        <w:t>both</w:t>
      </w:r>
      <w:r w:rsidRPr="00431AA9">
        <w:rPr>
          <w:rFonts w:ascii="Verdana" w:eastAsia="Times New Roman" w:hAnsi="Verdana" w:cs="Segoe UI"/>
          <w:sz w:val="24"/>
          <w:szCs w:val="24"/>
          <w:lang w:eastAsia="en-GB"/>
        </w:rPr>
        <w:t xml:space="preserve"> mental health needs (or social emotional and mental health needs – SEMH) and speech, language and communication needs (SLCN). This is made all the more important during the COVID-19 pandemic, as research suggests it has had an effect on everyone’s mental health, including children.</w:t>
      </w:r>
    </w:p>
    <w:p w:rsidR="00431AA9" w:rsidRPr="00431AA9" w:rsidRDefault="00431AA9" w:rsidP="00431AA9">
      <w:pPr>
        <w:spacing w:after="100" w:afterAutospacing="1" w:line="240" w:lineRule="auto"/>
        <w:jc w:val="both"/>
        <w:rPr>
          <w:rFonts w:ascii="Verdana" w:eastAsia="Times New Roman" w:hAnsi="Verdana" w:cs="Segoe UI"/>
          <w:sz w:val="24"/>
          <w:szCs w:val="24"/>
          <w:lang w:eastAsia="en-GB"/>
        </w:rPr>
      </w:pPr>
      <w:r w:rsidRPr="00431AA9">
        <w:rPr>
          <w:rFonts w:ascii="Verdana" w:eastAsia="Times New Roman" w:hAnsi="Verdana" w:cs="Segoe UI"/>
          <w:sz w:val="24"/>
          <w:szCs w:val="24"/>
          <w:lang w:eastAsia="en-GB"/>
        </w:rPr>
        <w:t>The online training highlights the links between mental health and communication and outlines how professionals can work together to remove communication barriers and help these children and young people achieve their potential.</w:t>
      </w:r>
    </w:p>
    <w:p w:rsidR="00431AA9" w:rsidRDefault="00431AA9" w:rsidP="007D21AA">
      <w:pPr>
        <w:spacing w:after="100" w:afterAutospacing="1" w:line="240" w:lineRule="auto"/>
        <w:jc w:val="both"/>
        <w:rPr>
          <w:rFonts w:ascii="Verdana" w:eastAsia="Times New Roman" w:hAnsi="Verdana" w:cs="Segoe UI"/>
          <w:sz w:val="24"/>
          <w:szCs w:val="24"/>
          <w:lang w:eastAsia="en-GB"/>
        </w:rPr>
      </w:pPr>
      <w:r w:rsidRPr="00431AA9">
        <w:rPr>
          <w:rFonts w:ascii="Verdana" w:eastAsia="Times New Roman" w:hAnsi="Verdana" w:cs="Segoe UI"/>
          <w:sz w:val="24"/>
          <w:szCs w:val="24"/>
          <w:lang w:eastAsia="en-GB"/>
        </w:rPr>
        <w:t>The</w:t>
      </w:r>
      <w:r>
        <w:rPr>
          <w:rFonts w:ascii="Verdana" w:eastAsia="Times New Roman" w:hAnsi="Verdana" w:cs="Segoe UI"/>
          <w:sz w:val="24"/>
          <w:szCs w:val="24"/>
          <w:lang w:eastAsia="en-GB"/>
        </w:rPr>
        <w:t xml:space="preserve"> course consists of 15 modules.</w:t>
      </w:r>
    </w:p>
    <w:p w:rsidR="00431AA9" w:rsidRPr="00431AA9" w:rsidRDefault="00431AA9" w:rsidP="007D21AA">
      <w:pPr>
        <w:spacing w:after="100" w:afterAutospacing="1" w:line="240" w:lineRule="auto"/>
        <w:jc w:val="both"/>
        <w:rPr>
          <w:rFonts w:ascii="Verdana" w:eastAsia="Times New Roman" w:hAnsi="Verdana" w:cs="Segoe UI"/>
          <w:color w:val="212529"/>
          <w:sz w:val="24"/>
          <w:szCs w:val="24"/>
          <w:lang w:eastAsia="en-GB"/>
        </w:rPr>
      </w:pPr>
      <w:r w:rsidRPr="00431AA9">
        <w:rPr>
          <w:rFonts w:ascii="Verdana" w:eastAsia="Times New Roman" w:hAnsi="Verdana" w:cs="Segoe UI"/>
          <w:color w:val="212529"/>
          <w:sz w:val="24"/>
          <w:szCs w:val="24"/>
          <w:lang w:eastAsia="en-GB"/>
        </w:rPr>
        <w:t xml:space="preserve">The </w:t>
      </w:r>
      <w:r w:rsidR="007D21AA">
        <w:rPr>
          <w:rFonts w:ascii="Verdana" w:eastAsia="Times New Roman" w:hAnsi="Verdana" w:cs="Segoe UI"/>
          <w:color w:val="212529"/>
          <w:sz w:val="24"/>
          <w:szCs w:val="24"/>
          <w:lang w:eastAsia="en-GB"/>
        </w:rPr>
        <w:t xml:space="preserve">first </w:t>
      </w:r>
      <w:r w:rsidRPr="00431AA9">
        <w:rPr>
          <w:rFonts w:ascii="Verdana" w:eastAsia="Times New Roman" w:hAnsi="Verdana" w:cs="Segoe UI"/>
          <w:color w:val="212529"/>
          <w:sz w:val="24"/>
          <w:szCs w:val="24"/>
          <w:lang w:eastAsia="en-GB"/>
        </w:rPr>
        <w:t>five</w:t>
      </w:r>
      <w:r w:rsidR="007D21AA">
        <w:rPr>
          <w:rFonts w:ascii="Verdana" w:eastAsia="Times New Roman" w:hAnsi="Verdana" w:cs="Segoe UI"/>
          <w:color w:val="212529"/>
          <w:sz w:val="24"/>
          <w:szCs w:val="24"/>
          <w:lang w:eastAsia="en-GB"/>
        </w:rPr>
        <w:t xml:space="preserve"> modules are</w:t>
      </w:r>
      <w:r w:rsidRPr="00431AA9">
        <w:rPr>
          <w:rFonts w:ascii="Verdana" w:eastAsia="Times New Roman" w:hAnsi="Verdana" w:cs="Segoe UI"/>
          <w:color w:val="212529"/>
          <w:sz w:val="24"/>
          <w:szCs w:val="24"/>
          <w:lang w:eastAsia="en-GB"/>
        </w:rPr>
        <w:t xml:space="preserve"> core modules</w:t>
      </w:r>
      <w:r w:rsidR="007D21AA">
        <w:rPr>
          <w:rFonts w:ascii="Verdana" w:eastAsia="Times New Roman" w:hAnsi="Verdana" w:cs="Segoe UI"/>
          <w:color w:val="212529"/>
          <w:sz w:val="24"/>
          <w:szCs w:val="24"/>
          <w:lang w:eastAsia="en-GB"/>
        </w:rPr>
        <w:t xml:space="preserve"> and apply to all setting. They </w:t>
      </w:r>
      <w:r w:rsidRPr="00431AA9">
        <w:rPr>
          <w:rFonts w:ascii="Verdana" w:eastAsia="Times New Roman" w:hAnsi="Verdana" w:cs="Segoe UI"/>
          <w:color w:val="212529"/>
          <w:sz w:val="24"/>
          <w:szCs w:val="24"/>
          <w:lang w:eastAsia="en-GB"/>
        </w:rPr>
        <w:t>explain what speech, language and communication needs are, what social, emotional and mental health needs are, and how to recognise them, as well as how they are interrelated and some general strategies you can put in place.</w:t>
      </w:r>
      <w:r w:rsidR="007D21AA" w:rsidRPr="007D21AA">
        <w:rPr>
          <w:rFonts w:ascii="Verdana" w:eastAsia="Times New Roman" w:hAnsi="Verdana" w:cs="Segoe UI"/>
          <w:sz w:val="24"/>
          <w:szCs w:val="24"/>
          <w:lang w:eastAsia="en-GB"/>
        </w:rPr>
        <w:t xml:space="preserve"> </w:t>
      </w:r>
      <w:r w:rsidR="007D21AA" w:rsidRPr="00431AA9">
        <w:rPr>
          <w:rFonts w:ascii="Verdana" w:eastAsia="Times New Roman" w:hAnsi="Verdana" w:cs="Segoe UI"/>
          <w:sz w:val="24"/>
          <w:szCs w:val="24"/>
          <w:lang w:eastAsia="en-GB"/>
        </w:rPr>
        <w:t xml:space="preserve">You will need to </w:t>
      </w:r>
      <w:r w:rsidR="007D21AA">
        <w:rPr>
          <w:rFonts w:ascii="Verdana" w:eastAsia="Times New Roman" w:hAnsi="Verdana" w:cs="Segoe UI"/>
          <w:sz w:val="24"/>
          <w:szCs w:val="24"/>
          <w:lang w:eastAsia="en-GB"/>
        </w:rPr>
        <w:t>complete the first five modules</w:t>
      </w:r>
      <w:r w:rsidR="007D21AA" w:rsidRPr="007D21AA">
        <w:rPr>
          <w:rFonts w:ascii="Verdana" w:eastAsia="Times New Roman" w:hAnsi="Verdana" w:cs="Segoe UI"/>
          <w:sz w:val="24"/>
          <w:szCs w:val="24"/>
          <w:lang w:eastAsia="en-GB"/>
        </w:rPr>
        <w:t xml:space="preserve"> </w:t>
      </w:r>
      <w:r w:rsidR="007D21AA" w:rsidRPr="00431AA9">
        <w:rPr>
          <w:rFonts w:ascii="Verdana" w:eastAsia="Times New Roman" w:hAnsi="Verdana" w:cs="Segoe UI"/>
          <w:sz w:val="24"/>
          <w:szCs w:val="24"/>
          <w:lang w:eastAsia="en-GB"/>
        </w:rPr>
        <w:t>in order to unlock the other modules.</w:t>
      </w:r>
      <w:r w:rsidR="007D21AA" w:rsidRPr="007D21AA">
        <w:rPr>
          <w:rFonts w:ascii="Verdana" w:eastAsia="Times New Roman" w:hAnsi="Verdana" w:cs="Segoe UI"/>
          <w:sz w:val="24"/>
          <w:szCs w:val="24"/>
          <w:lang w:eastAsia="en-GB"/>
        </w:rPr>
        <w:t xml:space="preserve"> </w:t>
      </w:r>
      <w:r w:rsidR="007D21AA" w:rsidRPr="00431AA9">
        <w:rPr>
          <w:rFonts w:ascii="Verdana" w:eastAsia="Times New Roman" w:hAnsi="Verdana" w:cs="Segoe UI"/>
          <w:sz w:val="24"/>
          <w:szCs w:val="24"/>
          <w:lang w:eastAsia="en-GB"/>
        </w:rPr>
        <w:t>After that you are free to choose which modules you feel are relevant.</w:t>
      </w:r>
    </w:p>
    <w:p w:rsidR="00431AA9" w:rsidRPr="00431AA9" w:rsidRDefault="00431AA9" w:rsidP="007D21AA">
      <w:pPr>
        <w:spacing w:after="100" w:afterAutospacing="1" w:line="240" w:lineRule="auto"/>
        <w:jc w:val="both"/>
        <w:rPr>
          <w:rFonts w:ascii="Verdana" w:eastAsia="Times New Roman" w:hAnsi="Verdana" w:cs="Segoe UI"/>
          <w:color w:val="212529"/>
          <w:sz w:val="24"/>
          <w:szCs w:val="24"/>
          <w:lang w:eastAsia="en-GB"/>
        </w:rPr>
      </w:pPr>
      <w:r w:rsidRPr="00431AA9">
        <w:rPr>
          <w:rFonts w:ascii="Verdana" w:eastAsia="Times New Roman" w:hAnsi="Verdana" w:cs="Segoe UI"/>
          <w:color w:val="212529"/>
          <w:sz w:val="24"/>
          <w:szCs w:val="24"/>
          <w:lang w:eastAsia="en-GB"/>
        </w:rPr>
        <w:t>The remaining modules look in more detail at ways you can support children and young people, including getting support from speech and language therapy, working collaboratively, modifying risk assessment and de-escalation techniques, becoming a communication accessible service and much more.</w:t>
      </w:r>
    </w:p>
    <w:p w:rsidR="00431AA9" w:rsidRPr="00431AA9" w:rsidRDefault="00431AA9" w:rsidP="007D21AA">
      <w:pPr>
        <w:spacing w:after="100" w:afterAutospacing="1" w:line="240" w:lineRule="auto"/>
        <w:jc w:val="both"/>
        <w:rPr>
          <w:rFonts w:ascii="Verdana" w:eastAsia="Times New Roman" w:hAnsi="Verdana" w:cs="Segoe UI"/>
          <w:sz w:val="24"/>
          <w:szCs w:val="24"/>
          <w:lang w:eastAsia="en-GB"/>
        </w:rPr>
      </w:pPr>
      <w:r w:rsidRPr="00431AA9">
        <w:rPr>
          <w:rFonts w:ascii="Verdana" w:eastAsia="Times New Roman" w:hAnsi="Verdana" w:cs="Segoe UI"/>
          <w:sz w:val="24"/>
          <w:szCs w:val="24"/>
          <w:lang w:eastAsia="en-GB"/>
        </w:rPr>
        <w:t>Each module takes between 10 and 20 minutes to complete.</w:t>
      </w:r>
    </w:p>
    <w:p w:rsidR="00431AA9" w:rsidRDefault="00431AA9" w:rsidP="00431AA9">
      <w:pPr>
        <w:spacing w:after="100" w:afterAutospacing="1" w:line="240" w:lineRule="auto"/>
        <w:rPr>
          <w:rFonts w:ascii="Verdana" w:eastAsia="Times New Roman" w:hAnsi="Verdana" w:cs="Segoe UI"/>
          <w:b/>
          <w:bCs/>
          <w:sz w:val="27"/>
          <w:szCs w:val="27"/>
          <w:lang w:eastAsia="en-GB"/>
        </w:rPr>
      </w:pPr>
    </w:p>
    <w:p w:rsidR="007D21AA" w:rsidRDefault="007D21AA" w:rsidP="00431AA9">
      <w:pPr>
        <w:spacing w:after="100" w:afterAutospacing="1" w:line="240" w:lineRule="auto"/>
        <w:rPr>
          <w:rFonts w:ascii="Verdana" w:eastAsia="Times New Roman" w:hAnsi="Verdana" w:cs="Segoe UI"/>
          <w:sz w:val="24"/>
          <w:szCs w:val="24"/>
          <w:lang w:eastAsia="en-GB"/>
        </w:rPr>
      </w:pPr>
    </w:p>
    <w:p w:rsidR="007D21AA" w:rsidRDefault="007D21AA" w:rsidP="00431AA9">
      <w:pPr>
        <w:spacing w:after="100" w:afterAutospacing="1" w:line="240" w:lineRule="auto"/>
        <w:rPr>
          <w:rFonts w:ascii="Verdana" w:eastAsia="Times New Roman" w:hAnsi="Verdana" w:cs="Segoe UI"/>
          <w:sz w:val="24"/>
          <w:szCs w:val="24"/>
          <w:lang w:eastAsia="en-GB"/>
        </w:rPr>
      </w:pPr>
    </w:p>
    <w:p w:rsidR="00431AA9" w:rsidRPr="00431AA9" w:rsidRDefault="00431AA9" w:rsidP="00431AA9">
      <w:pPr>
        <w:spacing w:after="100" w:afterAutospacing="1" w:line="240" w:lineRule="auto"/>
        <w:rPr>
          <w:rFonts w:ascii="Verdana" w:eastAsia="Times New Roman" w:hAnsi="Verdana" w:cs="Segoe UI"/>
          <w:sz w:val="24"/>
          <w:szCs w:val="24"/>
          <w:lang w:eastAsia="en-GB"/>
        </w:rPr>
      </w:pPr>
      <w:r w:rsidRPr="00431AA9">
        <w:rPr>
          <w:rFonts w:ascii="Verdana" w:eastAsia="Times New Roman" w:hAnsi="Verdana" w:cs="Segoe UI"/>
          <w:sz w:val="24"/>
          <w:szCs w:val="24"/>
          <w:lang w:eastAsia="en-GB"/>
        </w:rPr>
        <w:t xml:space="preserve">The course can be accessed via the </w:t>
      </w:r>
      <w:hyperlink r:id="rId7" w:tgtFrame="_blank" w:history="1">
        <w:r w:rsidRPr="00431AA9">
          <w:rPr>
            <w:rFonts w:ascii="Verdana" w:eastAsia="Times New Roman" w:hAnsi="Verdana" w:cs="Segoe UI"/>
            <w:b/>
            <w:bCs/>
            <w:sz w:val="24"/>
            <w:szCs w:val="24"/>
            <w:u w:val="single"/>
            <w:lang w:eastAsia="en-GB"/>
          </w:rPr>
          <w:t>RCSLT e-learning site</w:t>
        </w:r>
      </w:hyperlink>
      <w:r w:rsidRPr="00431AA9">
        <w:rPr>
          <w:rFonts w:ascii="Verdana" w:eastAsia="Times New Roman" w:hAnsi="Verdana" w:cs="Segoe UI"/>
          <w:sz w:val="24"/>
          <w:szCs w:val="24"/>
          <w:lang w:eastAsia="en-GB"/>
        </w:rPr>
        <w:t xml:space="preserve">. You do not have to be a member of the RCSLT in order to sign up – you can register on the </w:t>
      </w:r>
      <w:hyperlink r:id="rId8" w:tgtFrame="_blank" w:history="1">
        <w:r w:rsidRPr="00431AA9">
          <w:rPr>
            <w:rFonts w:ascii="Verdana" w:eastAsia="Times New Roman" w:hAnsi="Verdana" w:cs="Segoe UI"/>
            <w:b/>
            <w:bCs/>
            <w:sz w:val="24"/>
            <w:szCs w:val="24"/>
            <w:u w:val="single"/>
            <w:lang w:eastAsia="en-GB"/>
          </w:rPr>
          <w:t>sign-up page</w:t>
        </w:r>
      </w:hyperlink>
      <w:r w:rsidRPr="00431AA9">
        <w:rPr>
          <w:rFonts w:ascii="Verdana" w:eastAsia="Times New Roman" w:hAnsi="Verdana" w:cs="Segoe UI"/>
          <w:sz w:val="24"/>
          <w:szCs w:val="24"/>
          <w:lang w:eastAsia="en-GB"/>
        </w:rPr>
        <w:t>.</w:t>
      </w:r>
    </w:p>
    <w:p w:rsidR="00431AA9" w:rsidRPr="00431AA9" w:rsidRDefault="00431AA9" w:rsidP="00431AA9">
      <w:pPr>
        <w:spacing w:after="100" w:afterAutospacing="1" w:line="240" w:lineRule="auto"/>
        <w:rPr>
          <w:rFonts w:ascii="Verdana" w:eastAsia="Times New Roman" w:hAnsi="Verdana" w:cs="Segoe UI"/>
          <w:sz w:val="24"/>
          <w:szCs w:val="24"/>
          <w:lang w:eastAsia="en-GB"/>
        </w:rPr>
      </w:pPr>
      <w:r w:rsidRPr="00431AA9">
        <w:rPr>
          <w:rFonts w:ascii="Verdana" w:eastAsia="Times New Roman" w:hAnsi="Verdana" w:cs="Segoe UI"/>
          <w:sz w:val="24"/>
          <w:szCs w:val="24"/>
          <w:lang w:eastAsia="en-GB"/>
        </w:rPr>
        <w:t>It can be completed in any order, at your own pace – the modules will save your progress so you do not have to do it all at once.</w:t>
      </w:r>
    </w:p>
    <w:p w:rsidR="00431AA9" w:rsidRPr="00431AA9" w:rsidRDefault="00431AA9" w:rsidP="00431AA9">
      <w:pPr>
        <w:spacing w:after="100" w:afterAutospacing="1" w:line="240" w:lineRule="auto"/>
        <w:rPr>
          <w:rFonts w:ascii="Verdana" w:eastAsia="Times New Roman" w:hAnsi="Verdana" w:cs="Segoe UI"/>
          <w:sz w:val="24"/>
          <w:szCs w:val="24"/>
          <w:lang w:eastAsia="en-GB"/>
        </w:rPr>
      </w:pPr>
      <w:r w:rsidRPr="00431AA9">
        <w:rPr>
          <w:rFonts w:ascii="Verdana" w:eastAsia="Times New Roman" w:hAnsi="Verdana" w:cs="Segoe UI"/>
          <w:sz w:val="24"/>
          <w:szCs w:val="24"/>
          <w:lang w:eastAsia="en-GB"/>
        </w:rPr>
        <w:t>The course is completely remote, which:</w:t>
      </w:r>
    </w:p>
    <w:p w:rsidR="00431AA9" w:rsidRDefault="00431AA9" w:rsidP="00431AA9">
      <w:pPr>
        <w:pStyle w:val="ListParagraph"/>
        <w:numPr>
          <w:ilvl w:val="0"/>
          <w:numId w:val="1"/>
        </w:numPr>
        <w:spacing w:after="300" w:line="240" w:lineRule="auto"/>
        <w:rPr>
          <w:rFonts w:ascii="Verdana" w:eastAsia="Times New Roman" w:hAnsi="Verdana" w:cs="Segoe UI"/>
          <w:sz w:val="24"/>
          <w:szCs w:val="24"/>
          <w:lang w:eastAsia="en-GB"/>
        </w:rPr>
      </w:pPr>
      <w:proofErr w:type="gramStart"/>
      <w:r w:rsidRPr="00431AA9">
        <w:rPr>
          <w:rFonts w:ascii="Verdana" w:eastAsia="Times New Roman" w:hAnsi="Verdana" w:cs="Segoe UI"/>
          <w:sz w:val="24"/>
          <w:szCs w:val="24"/>
          <w:lang w:eastAsia="en-GB"/>
        </w:rPr>
        <w:t>saves</w:t>
      </w:r>
      <w:proofErr w:type="gramEnd"/>
      <w:r w:rsidRPr="00431AA9">
        <w:rPr>
          <w:rFonts w:ascii="Verdana" w:eastAsia="Times New Roman" w:hAnsi="Verdana" w:cs="Segoe UI"/>
          <w:sz w:val="24"/>
          <w:szCs w:val="24"/>
          <w:lang w:eastAsia="en-GB"/>
        </w:rPr>
        <w:t xml:space="preserve"> learner’s time away from work (which is often hard to arrange).</w:t>
      </w:r>
    </w:p>
    <w:p w:rsidR="00431AA9" w:rsidRPr="00431AA9" w:rsidRDefault="00431AA9" w:rsidP="00431AA9">
      <w:pPr>
        <w:pStyle w:val="ListParagraph"/>
        <w:numPr>
          <w:ilvl w:val="0"/>
          <w:numId w:val="1"/>
        </w:numPr>
        <w:spacing w:after="300" w:line="240" w:lineRule="auto"/>
        <w:rPr>
          <w:rFonts w:ascii="Verdana" w:eastAsia="Times New Roman" w:hAnsi="Verdana" w:cs="Segoe UI"/>
          <w:sz w:val="24"/>
          <w:szCs w:val="24"/>
          <w:lang w:eastAsia="en-GB"/>
        </w:rPr>
      </w:pPr>
      <w:proofErr w:type="gramStart"/>
      <w:r w:rsidRPr="00431AA9">
        <w:rPr>
          <w:rFonts w:ascii="Verdana" w:eastAsia="Times New Roman" w:hAnsi="Verdana" w:cs="Segoe UI"/>
          <w:sz w:val="24"/>
          <w:szCs w:val="24"/>
          <w:lang w:eastAsia="en-GB"/>
        </w:rPr>
        <w:t>saves</w:t>
      </w:r>
      <w:proofErr w:type="gramEnd"/>
      <w:r w:rsidRPr="00431AA9">
        <w:rPr>
          <w:rFonts w:ascii="Verdana" w:eastAsia="Times New Roman" w:hAnsi="Verdana" w:cs="Segoe UI"/>
          <w:sz w:val="24"/>
          <w:szCs w:val="24"/>
          <w:lang w:eastAsia="en-GB"/>
        </w:rPr>
        <w:t xml:space="preserve"> learner’s travel costs, compared to attending a face-to-face course.</w:t>
      </w:r>
    </w:p>
    <w:p w:rsidR="00431AA9" w:rsidRPr="00431AA9" w:rsidRDefault="00431AA9" w:rsidP="00431AA9">
      <w:pPr>
        <w:spacing w:after="100" w:afterAutospacing="1" w:line="240" w:lineRule="auto"/>
        <w:rPr>
          <w:rFonts w:ascii="Verdana" w:eastAsia="Times New Roman" w:hAnsi="Verdana" w:cs="Segoe UI"/>
          <w:sz w:val="24"/>
          <w:szCs w:val="24"/>
          <w:lang w:eastAsia="en-GB"/>
        </w:rPr>
      </w:pPr>
      <w:r w:rsidRPr="00431AA9">
        <w:rPr>
          <w:rFonts w:ascii="Verdana" w:eastAsia="Times New Roman" w:hAnsi="Verdana" w:cs="Segoe UI"/>
          <w:sz w:val="24"/>
          <w:szCs w:val="24"/>
          <w:lang w:eastAsia="en-GB"/>
        </w:rPr>
        <w:t>In addition the RCSLT is delighted to be able to offer it free of charge.</w:t>
      </w:r>
    </w:p>
    <w:p w:rsidR="00431AA9" w:rsidRDefault="00431AA9" w:rsidP="00431AA9">
      <w:pPr>
        <w:spacing w:after="100" w:afterAutospacing="1" w:line="240" w:lineRule="auto"/>
        <w:rPr>
          <w:rFonts w:ascii="Open Sans" w:eastAsia="Times New Roman" w:hAnsi="Open Sans" w:cs="Segoe UI"/>
          <w:b/>
          <w:bCs/>
          <w:color w:val="212529"/>
          <w:sz w:val="27"/>
          <w:szCs w:val="27"/>
          <w:lang w:eastAsia="en-GB"/>
        </w:rPr>
      </w:pPr>
    </w:p>
    <w:p w:rsidR="007D21AA" w:rsidRDefault="007D21AA" w:rsidP="00431AA9">
      <w:pPr>
        <w:spacing w:after="100" w:afterAutospacing="1" w:line="240" w:lineRule="auto"/>
        <w:rPr>
          <w:rFonts w:ascii="Open Sans" w:eastAsia="Times New Roman" w:hAnsi="Open Sans" w:cs="Segoe UI"/>
          <w:b/>
          <w:bCs/>
          <w:color w:val="212529"/>
          <w:sz w:val="27"/>
          <w:szCs w:val="27"/>
          <w:lang w:eastAsia="en-GB"/>
        </w:rPr>
      </w:pPr>
    </w:p>
    <w:p w:rsidR="00431AA9" w:rsidRPr="00431AA9" w:rsidRDefault="00431AA9" w:rsidP="007D21AA">
      <w:pPr>
        <w:spacing w:after="100" w:afterAutospacing="1" w:line="240" w:lineRule="auto"/>
        <w:jc w:val="center"/>
        <w:rPr>
          <w:rFonts w:ascii="Verdana" w:eastAsia="Times New Roman" w:hAnsi="Verdana" w:cs="Segoe UI"/>
          <w:i/>
          <w:sz w:val="32"/>
          <w:szCs w:val="24"/>
          <w:lang w:eastAsia="en-GB"/>
        </w:rPr>
      </w:pPr>
      <w:r w:rsidRPr="007D21AA">
        <w:rPr>
          <w:rFonts w:ascii="Verdana" w:eastAsia="Times New Roman" w:hAnsi="Verdana" w:cs="Segoe UI"/>
          <w:b/>
          <w:bCs/>
          <w:i/>
          <w:sz w:val="32"/>
          <w:szCs w:val="27"/>
          <w:lang w:eastAsia="en-GB"/>
        </w:rPr>
        <w:t>Mind your Words Modules</w:t>
      </w:r>
    </w:p>
    <w:p w:rsidR="00431AA9" w:rsidRPr="00431AA9" w:rsidRDefault="00431AA9" w:rsidP="00431AA9">
      <w:pPr>
        <w:numPr>
          <w:ilvl w:val="0"/>
          <w:numId w:val="2"/>
        </w:numPr>
        <w:spacing w:after="300" w:line="240" w:lineRule="auto"/>
        <w:ind w:left="0"/>
        <w:jc w:val="both"/>
        <w:rPr>
          <w:rFonts w:ascii="Verdana" w:eastAsia="Times New Roman" w:hAnsi="Verdana" w:cs="Segoe UI"/>
          <w:sz w:val="24"/>
          <w:szCs w:val="24"/>
          <w:lang w:eastAsia="en-GB"/>
        </w:rPr>
      </w:pPr>
      <w:r w:rsidRPr="00431AA9">
        <w:rPr>
          <w:rFonts w:ascii="Verdana" w:eastAsia="Times New Roman" w:hAnsi="Verdana" w:cs="Segoe UI"/>
          <w:b/>
          <w:bCs/>
          <w:spacing w:val="5"/>
          <w:sz w:val="24"/>
          <w:szCs w:val="24"/>
          <w:lang w:eastAsia="en-GB"/>
        </w:rPr>
        <w:t>Module 1: Introduction</w:t>
      </w:r>
      <w:r w:rsidRPr="00431AA9">
        <w:rPr>
          <w:rFonts w:ascii="Verdana" w:eastAsia="Times New Roman" w:hAnsi="Verdana" w:cs="Segoe UI"/>
          <w:sz w:val="24"/>
          <w:szCs w:val="24"/>
          <w:lang w:eastAsia="en-GB"/>
        </w:rPr>
        <w:t xml:space="preserve"> – Find out what this learning journey will cover, how to use it, and how it was written and created.</w:t>
      </w:r>
    </w:p>
    <w:p w:rsidR="00431AA9" w:rsidRPr="00431AA9" w:rsidRDefault="00431AA9" w:rsidP="00431AA9">
      <w:pPr>
        <w:numPr>
          <w:ilvl w:val="0"/>
          <w:numId w:val="2"/>
        </w:numPr>
        <w:spacing w:after="300" w:line="240" w:lineRule="auto"/>
        <w:ind w:left="0"/>
        <w:jc w:val="both"/>
        <w:rPr>
          <w:rFonts w:ascii="Verdana" w:eastAsia="Times New Roman" w:hAnsi="Verdana" w:cs="Segoe UI"/>
          <w:sz w:val="24"/>
          <w:szCs w:val="24"/>
          <w:lang w:eastAsia="en-GB"/>
        </w:rPr>
      </w:pPr>
      <w:r w:rsidRPr="00431AA9">
        <w:rPr>
          <w:rFonts w:ascii="Verdana" w:eastAsia="Times New Roman" w:hAnsi="Verdana" w:cs="Segoe UI"/>
          <w:b/>
          <w:bCs/>
          <w:spacing w:val="5"/>
          <w:sz w:val="24"/>
          <w:szCs w:val="24"/>
          <w:lang w:eastAsia="en-GB"/>
        </w:rPr>
        <w:t>Module 2: What are SLCN and SEMH?</w:t>
      </w:r>
      <w:r w:rsidRPr="00431AA9">
        <w:rPr>
          <w:rFonts w:ascii="Verdana" w:eastAsia="Times New Roman" w:hAnsi="Verdana" w:cs="Segoe UI"/>
          <w:sz w:val="24"/>
          <w:szCs w:val="24"/>
          <w:lang w:eastAsia="en-GB"/>
        </w:rPr>
        <w:t xml:space="preserve"> – Find out what speech, language and communication needs are, what social, emotional and mental health needs are, and how to recognise them.</w:t>
      </w:r>
    </w:p>
    <w:p w:rsidR="00431AA9" w:rsidRPr="00431AA9" w:rsidRDefault="00431AA9" w:rsidP="00431AA9">
      <w:pPr>
        <w:numPr>
          <w:ilvl w:val="0"/>
          <w:numId w:val="2"/>
        </w:numPr>
        <w:spacing w:after="300" w:line="240" w:lineRule="auto"/>
        <w:ind w:left="0"/>
        <w:jc w:val="both"/>
        <w:rPr>
          <w:rFonts w:ascii="Verdana" w:eastAsia="Times New Roman" w:hAnsi="Verdana" w:cs="Segoe UI"/>
          <w:sz w:val="24"/>
          <w:szCs w:val="24"/>
          <w:lang w:eastAsia="en-GB"/>
        </w:rPr>
      </w:pPr>
      <w:r w:rsidRPr="00431AA9">
        <w:rPr>
          <w:rFonts w:ascii="Verdana" w:eastAsia="Times New Roman" w:hAnsi="Verdana" w:cs="Segoe UI"/>
          <w:b/>
          <w:bCs/>
          <w:spacing w:val="5"/>
          <w:sz w:val="24"/>
          <w:szCs w:val="24"/>
          <w:lang w:eastAsia="en-GB"/>
        </w:rPr>
        <w:t>Module 3: Risk and resilience</w:t>
      </w:r>
      <w:r w:rsidRPr="00431AA9">
        <w:rPr>
          <w:rFonts w:ascii="Verdana" w:eastAsia="Times New Roman" w:hAnsi="Verdana" w:cs="Segoe UI"/>
          <w:sz w:val="24"/>
          <w:szCs w:val="24"/>
          <w:lang w:eastAsia="en-GB"/>
        </w:rPr>
        <w:t xml:space="preserve"> – Investigate the benefits of good communication skills on resilience, and the impact of communication difficulties on mental health and skill development.</w:t>
      </w:r>
    </w:p>
    <w:p w:rsidR="00431AA9" w:rsidRPr="00431AA9" w:rsidRDefault="00431AA9" w:rsidP="00431AA9">
      <w:pPr>
        <w:numPr>
          <w:ilvl w:val="0"/>
          <w:numId w:val="2"/>
        </w:numPr>
        <w:spacing w:after="300" w:line="240" w:lineRule="auto"/>
        <w:ind w:left="0"/>
        <w:jc w:val="both"/>
        <w:rPr>
          <w:rFonts w:ascii="Verdana" w:eastAsia="Times New Roman" w:hAnsi="Verdana" w:cs="Segoe UI"/>
          <w:sz w:val="24"/>
          <w:szCs w:val="24"/>
          <w:lang w:eastAsia="en-GB"/>
        </w:rPr>
      </w:pPr>
      <w:r w:rsidRPr="00431AA9">
        <w:rPr>
          <w:rFonts w:ascii="Verdana" w:eastAsia="Times New Roman" w:hAnsi="Verdana" w:cs="Segoe UI"/>
          <w:b/>
          <w:bCs/>
          <w:spacing w:val="5"/>
          <w:sz w:val="24"/>
          <w:szCs w:val="24"/>
          <w:lang w:eastAsia="en-GB"/>
        </w:rPr>
        <w:t>Module 4: What if young people have SLCN and SEMH?</w:t>
      </w:r>
      <w:r w:rsidRPr="00431AA9">
        <w:rPr>
          <w:rFonts w:ascii="Verdana" w:eastAsia="Times New Roman" w:hAnsi="Verdana" w:cs="Segoe UI"/>
          <w:sz w:val="24"/>
          <w:szCs w:val="24"/>
          <w:lang w:eastAsia="en-GB"/>
        </w:rPr>
        <w:t xml:space="preserve"> – Explore why language skills are necessary for good mental health, and how SLCN can bring additional risks and problems for mental health.</w:t>
      </w:r>
    </w:p>
    <w:p w:rsidR="00431AA9" w:rsidRDefault="00431AA9" w:rsidP="00431AA9">
      <w:pPr>
        <w:numPr>
          <w:ilvl w:val="0"/>
          <w:numId w:val="2"/>
        </w:numPr>
        <w:spacing w:after="300" w:line="240" w:lineRule="auto"/>
        <w:ind w:left="0"/>
        <w:jc w:val="both"/>
        <w:rPr>
          <w:rFonts w:ascii="Verdana" w:eastAsia="Times New Roman" w:hAnsi="Verdana" w:cs="Segoe UI"/>
          <w:sz w:val="24"/>
          <w:szCs w:val="24"/>
          <w:lang w:eastAsia="en-GB"/>
        </w:rPr>
      </w:pPr>
      <w:r w:rsidRPr="00431AA9">
        <w:rPr>
          <w:rFonts w:ascii="Verdana" w:eastAsia="Times New Roman" w:hAnsi="Verdana" w:cs="Segoe UI"/>
          <w:b/>
          <w:bCs/>
          <w:spacing w:val="5"/>
          <w:sz w:val="24"/>
          <w:szCs w:val="24"/>
          <w:lang w:eastAsia="en-GB"/>
        </w:rPr>
        <w:t>Module 5: Universal strategies for SLCN</w:t>
      </w:r>
      <w:r w:rsidRPr="00431AA9">
        <w:rPr>
          <w:rFonts w:ascii="Verdana" w:eastAsia="Times New Roman" w:hAnsi="Verdana" w:cs="Segoe UI"/>
          <w:sz w:val="24"/>
          <w:szCs w:val="24"/>
          <w:lang w:eastAsia="en-GB"/>
        </w:rPr>
        <w:t xml:space="preserve"> – Find out what universal strategies are and how to use them to support children and young people.</w:t>
      </w:r>
    </w:p>
    <w:p w:rsidR="007D21AA" w:rsidRPr="00431AA9" w:rsidRDefault="007D21AA" w:rsidP="007D21AA">
      <w:pPr>
        <w:spacing w:after="300" w:line="240" w:lineRule="auto"/>
        <w:jc w:val="both"/>
        <w:rPr>
          <w:rFonts w:ascii="Verdana" w:eastAsia="Times New Roman" w:hAnsi="Verdana" w:cs="Segoe UI"/>
          <w:sz w:val="24"/>
          <w:szCs w:val="24"/>
          <w:lang w:eastAsia="en-GB"/>
        </w:rPr>
      </w:pPr>
    </w:p>
    <w:p w:rsidR="00431AA9" w:rsidRPr="00431AA9" w:rsidRDefault="00431AA9" w:rsidP="00431AA9">
      <w:pPr>
        <w:numPr>
          <w:ilvl w:val="0"/>
          <w:numId w:val="2"/>
        </w:numPr>
        <w:spacing w:after="300" w:line="240" w:lineRule="auto"/>
        <w:ind w:left="0"/>
        <w:jc w:val="both"/>
        <w:rPr>
          <w:rFonts w:ascii="Verdana" w:eastAsia="Times New Roman" w:hAnsi="Verdana" w:cs="Segoe UI"/>
          <w:sz w:val="24"/>
          <w:szCs w:val="24"/>
          <w:lang w:eastAsia="en-GB"/>
        </w:rPr>
      </w:pPr>
      <w:r w:rsidRPr="00431AA9">
        <w:rPr>
          <w:rFonts w:ascii="Verdana" w:eastAsia="Times New Roman" w:hAnsi="Verdana" w:cs="Segoe UI"/>
          <w:b/>
          <w:bCs/>
          <w:spacing w:val="5"/>
          <w:sz w:val="24"/>
          <w:szCs w:val="24"/>
          <w:lang w:eastAsia="en-GB"/>
        </w:rPr>
        <w:t>Module 6: What speech and language therapy (SLT) can contribute</w:t>
      </w:r>
      <w:r w:rsidRPr="00431AA9">
        <w:rPr>
          <w:rFonts w:ascii="Verdana" w:eastAsia="Times New Roman" w:hAnsi="Verdana" w:cs="Segoe UI"/>
          <w:sz w:val="24"/>
          <w:szCs w:val="24"/>
          <w:lang w:eastAsia="en-GB"/>
        </w:rPr>
        <w:t xml:space="preserve"> – The role of the speech and language therapist, the settings they work in and sort of work SLTs do, evidence based interventions and the benefits of SLT.</w:t>
      </w:r>
    </w:p>
    <w:p w:rsidR="00431AA9" w:rsidRPr="00431AA9" w:rsidRDefault="00431AA9" w:rsidP="00431AA9">
      <w:pPr>
        <w:numPr>
          <w:ilvl w:val="0"/>
          <w:numId w:val="2"/>
        </w:numPr>
        <w:spacing w:after="300" w:line="240" w:lineRule="auto"/>
        <w:ind w:left="0"/>
        <w:jc w:val="both"/>
        <w:rPr>
          <w:rFonts w:ascii="Verdana" w:eastAsia="Times New Roman" w:hAnsi="Verdana" w:cs="Segoe UI"/>
          <w:sz w:val="24"/>
          <w:szCs w:val="24"/>
          <w:lang w:eastAsia="en-GB"/>
        </w:rPr>
      </w:pPr>
      <w:r w:rsidRPr="00431AA9">
        <w:rPr>
          <w:rFonts w:ascii="Verdana" w:eastAsia="Times New Roman" w:hAnsi="Verdana" w:cs="Segoe UI"/>
          <w:b/>
          <w:bCs/>
          <w:spacing w:val="5"/>
          <w:sz w:val="24"/>
          <w:szCs w:val="24"/>
          <w:lang w:eastAsia="en-GB"/>
        </w:rPr>
        <w:t>Module 7: Collaboration</w:t>
      </w:r>
      <w:r w:rsidRPr="00431AA9">
        <w:rPr>
          <w:rFonts w:ascii="Verdana" w:eastAsia="Times New Roman" w:hAnsi="Verdana" w:cs="Segoe UI"/>
          <w:sz w:val="24"/>
          <w:szCs w:val="24"/>
          <w:lang w:eastAsia="en-GB"/>
        </w:rPr>
        <w:t xml:space="preserve"> – What is collaboration? Why and how to collaborate? Why doesn’t collaboration always work?</w:t>
      </w:r>
    </w:p>
    <w:p w:rsidR="00431AA9" w:rsidRPr="00431AA9" w:rsidRDefault="00431AA9" w:rsidP="00431AA9">
      <w:pPr>
        <w:numPr>
          <w:ilvl w:val="0"/>
          <w:numId w:val="2"/>
        </w:numPr>
        <w:spacing w:after="300" w:line="240" w:lineRule="auto"/>
        <w:ind w:left="0"/>
        <w:jc w:val="both"/>
        <w:rPr>
          <w:rFonts w:ascii="Verdana" w:eastAsia="Times New Roman" w:hAnsi="Verdana" w:cs="Segoe UI"/>
          <w:sz w:val="24"/>
          <w:szCs w:val="24"/>
          <w:lang w:eastAsia="en-GB"/>
        </w:rPr>
      </w:pPr>
      <w:r w:rsidRPr="00431AA9">
        <w:rPr>
          <w:rFonts w:ascii="Verdana" w:eastAsia="Times New Roman" w:hAnsi="Verdana" w:cs="Segoe UI"/>
          <w:b/>
          <w:bCs/>
          <w:spacing w:val="5"/>
          <w:sz w:val="24"/>
          <w:szCs w:val="24"/>
          <w:lang w:eastAsia="en-GB"/>
        </w:rPr>
        <w:t>Module 8: Identification and assessment of SLCN</w:t>
      </w:r>
      <w:r w:rsidRPr="00431AA9">
        <w:rPr>
          <w:rFonts w:ascii="Verdana" w:eastAsia="Times New Roman" w:hAnsi="Verdana" w:cs="Segoe UI"/>
          <w:sz w:val="24"/>
          <w:szCs w:val="24"/>
          <w:lang w:eastAsia="en-GB"/>
        </w:rPr>
        <w:t xml:space="preserve"> – Why assess a child or young person’s speech language and communication skills? Who should we assess? Types of assessment used by SLTs, and problems with assessment. Things to notice (indicators of SLCN), and how to include the views of children and young people.</w:t>
      </w:r>
    </w:p>
    <w:p w:rsidR="00431AA9" w:rsidRPr="00431AA9" w:rsidRDefault="00431AA9" w:rsidP="00431AA9">
      <w:pPr>
        <w:numPr>
          <w:ilvl w:val="0"/>
          <w:numId w:val="2"/>
        </w:numPr>
        <w:spacing w:after="300" w:line="240" w:lineRule="auto"/>
        <w:ind w:left="0"/>
        <w:jc w:val="both"/>
        <w:rPr>
          <w:rFonts w:ascii="Verdana" w:eastAsia="Times New Roman" w:hAnsi="Verdana" w:cs="Segoe UI"/>
          <w:sz w:val="24"/>
          <w:szCs w:val="24"/>
          <w:lang w:eastAsia="en-GB"/>
        </w:rPr>
      </w:pPr>
      <w:r w:rsidRPr="00431AA9">
        <w:rPr>
          <w:rFonts w:ascii="Verdana" w:eastAsia="Times New Roman" w:hAnsi="Verdana" w:cs="Segoe UI"/>
          <w:b/>
          <w:bCs/>
          <w:spacing w:val="5"/>
          <w:sz w:val="24"/>
          <w:szCs w:val="24"/>
          <w:lang w:eastAsia="en-GB"/>
        </w:rPr>
        <w:t>Module 9: Becoming a communication accessible setting</w:t>
      </w:r>
      <w:r w:rsidRPr="00431AA9">
        <w:rPr>
          <w:rFonts w:ascii="Verdana" w:eastAsia="Times New Roman" w:hAnsi="Verdana" w:cs="Segoe UI"/>
          <w:sz w:val="24"/>
          <w:szCs w:val="24"/>
          <w:lang w:eastAsia="en-GB"/>
        </w:rPr>
        <w:t xml:space="preserve"> – Adopting the Communication Access Standards, meeting the 5 Good Communication Standards</w:t>
      </w:r>
    </w:p>
    <w:p w:rsidR="00431AA9" w:rsidRPr="00431AA9" w:rsidRDefault="00431AA9" w:rsidP="00431AA9">
      <w:pPr>
        <w:numPr>
          <w:ilvl w:val="0"/>
          <w:numId w:val="2"/>
        </w:numPr>
        <w:spacing w:after="300" w:line="240" w:lineRule="auto"/>
        <w:ind w:left="0"/>
        <w:jc w:val="both"/>
        <w:rPr>
          <w:rFonts w:ascii="Verdana" w:eastAsia="Times New Roman" w:hAnsi="Verdana" w:cs="Segoe UI"/>
          <w:sz w:val="24"/>
          <w:szCs w:val="24"/>
          <w:lang w:eastAsia="en-GB"/>
        </w:rPr>
      </w:pPr>
      <w:r w:rsidRPr="00431AA9">
        <w:rPr>
          <w:rFonts w:ascii="Verdana" w:eastAsia="Times New Roman" w:hAnsi="Verdana" w:cs="Segoe UI"/>
          <w:b/>
          <w:bCs/>
          <w:spacing w:val="5"/>
          <w:sz w:val="24"/>
          <w:szCs w:val="24"/>
          <w:lang w:eastAsia="en-GB"/>
        </w:rPr>
        <w:t>Module 10: Asking the right questions</w:t>
      </w:r>
      <w:r w:rsidRPr="00431AA9">
        <w:rPr>
          <w:rFonts w:ascii="Verdana" w:eastAsia="Times New Roman" w:hAnsi="Verdana" w:cs="Segoe UI"/>
          <w:sz w:val="24"/>
          <w:szCs w:val="24"/>
          <w:lang w:eastAsia="en-GB"/>
        </w:rPr>
        <w:t xml:space="preserve"> – Why questions can be problematic for children and young people (CYP) with speech, language and communication needs (SLCN). How to make answering questions comfortable and how to ask questions that a child or young person with SLCN can understand and answer.</w:t>
      </w:r>
    </w:p>
    <w:p w:rsidR="00431AA9" w:rsidRPr="00431AA9" w:rsidRDefault="00431AA9" w:rsidP="00431AA9">
      <w:pPr>
        <w:numPr>
          <w:ilvl w:val="0"/>
          <w:numId w:val="2"/>
        </w:numPr>
        <w:spacing w:after="300" w:line="240" w:lineRule="auto"/>
        <w:ind w:left="0"/>
        <w:jc w:val="both"/>
        <w:rPr>
          <w:rFonts w:ascii="Verdana" w:eastAsia="Times New Roman" w:hAnsi="Verdana" w:cs="Segoe UI"/>
          <w:sz w:val="24"/>
          <w:szCs w:val="24"/>
          <w:lang w:eastAsia="en-GB"/>
        </w:rPr>
      </w:pPr>
      <w:r w:rsidRPr="00431AA9">
        <w:rPr>
          <w:rFonts w:ascii="Verdana" w:eastAsia="Times New Roman" w:hAnsi="Verdana" w:cs="Segoe UI"/>
          <w:b/>
          <w:bCs/>
          <w:spacing w:val="5"/>
          <w:sz w:val="24"/>
          <w:szCs w:val="24"/>
          <w:lang w:eastAsia="en-GB"/>
        </w:rPr>
        <w:t>Module 11: Communication in de-escalation and de-briefing</w:t>
      </w:r>
      <w:r w:rsidRPr="00431AA9">
        <w:rPr>
          <w:rFonts w:ascii="Verdana" w:eastAsia="Times New Roman" w:hAnsi="Verdana" w:cs="Segoe UI"/>
          <w:sz w:val="24"/>
          <w:szCs w:val="24"/>
          <w:lang w:eastAsia="en-GB"/>
        </w:rPr>
        <w:t xml:space="preserve"> – What do stress and conflict do to the brain and communication skills? How can we communicate to help someone feel safe and to calm down? How to help a child or young person develop the language skills to cope in stressful situations.</w:t>
      </w:r>
    </w:p>
    <w:p w:rsidR="00431AA9" w:rsidRPr="00431AA9" w:rsidRDefault="00431AA9" w:rsidP="00431AA9">
      <w:pPr>
        <w:numPr>
          <w:ilvl w:val="0"/>
          <w:numId w:val="2"/>
        </w:numPr>
        <w:spacing w:after="300" w:line="240" w:lineRule="auto"/>
        <w:ind w:left="0"/>
        <w:jc w:val="both"/>
        <w:rPr>
          <w:rFonts w:ascii="Verdana" w:eastAsia="Times New Roman" w:hAnsi="Verdana" w:cs="Segoe UI"/>
          <w:sz w:val="24"/>
          <w:szCs w:val="24"/>
          <w:lang w:eastAsia="en-GB"/>
        </w:rPr>
      </w:pPr>
      <w:r w:rsidRPr="00431AA9">
        <w:rPr>
          <w:rFonts w:ascii="Verdana" w:eastAsia="Times New Roman" w:hAnsi="Verdana" w:cs="Segoe UI"/>
          <w:b/>
          <w:bCs/>
          <w:spacing w:val="5"/>
          <w:sz w:val="24"/>
          <w:szCs w:val="24"/>
          <w:lang w:eastAsia="en-GB"/>
        </w:rPr>
        <w:t>Module 12: SLCN, SEMH and risk assessment</w:t>
      </w:r>
      <w:r w:rsidRPr="00431AA9">
        <w:rPr>
          <w:rFonts w:ascii="Verdana" w:eastAsia="Times New Roman" w:hAnsi="Verdana" w:cs="Segoe UI"/>
          <w:sz w:val="24"/>
          <w:szCs w:val="24"/>
          <w:lang w:eastAsia="en-GB"/>
        </w:rPr>
        <w:t xml:space="preserve"> – Revision of the general risks of speech, language and communication needs (SLCN). Thinking about specific risks for children and young people with SLCN in relation to behaviour that challenges, and how to design a risk assessment including SLCN.</w:t>
      </w:r>
    </w:p>
    <w:p w:rsidR="00431AA9" w:rsidRDefault="00431AA9" w:rsidP="00431AA9">
      <w:pPr>
        <w:numPr>
          <w:ilvl w:val="0"/>
          <w:numId w:val="2"/>
        </w:numPr>
        <w:spacing w:after="300" w:line="240" w:lineRule="auto"/>
        <w:ind w:left="0"/>
        <w:jc w:val="both"/>
        <w:rPr>
          <w:rFonts w:ascii="Verdana" w:eastAsia="Times New Roman" w:hAnsi="Verdana" w:cs="Segoe UI"/>
          <w:sz w:val="24"/>
          <w:szCs w:val="24"/>
          <w:lang w:eastAsia="en-GB"/>
        </w:rPr>
      </w:pPr>
      <w:r w:rsidRPr="00431AA9">
        <w:rPr>
          <w:rFonts w:ascii="Verdana" w:eastAsia="Times New Roman" w:hAnsi="Verdana" w:cs="Segoe UI"/>
          <w:b/>
          <w:bCs/>
          <w:spacing w:val="5"/>
          <w:sz w:val="24"/>
          <w:szCs w:val="24"/>
          <w:lang w:eastAsia="en-GB"/>
        </w:rPr>
        <w:t>Module 13: Developing a service for SLCN and SEMH</w:t>
      </w:r>
      <w:r w:rsidRPr="00431AA9">
        <w:rPr>
          <w:rFonts w:ascii="Verdana" w:eastAsia="Times New Roman" w:hAnsi="Verdana" w:cs="Segoe UI"/>
          <w:sz w:val="24"/>
          <w:szCs w:val="24"/>
          <w:lang w:eastAsia="en-GB"/>
        </w:rPr>
        <w:t xml:space="preserve"> – A model of interventions in services. What speech and language therapy can </w:t>
      </w:r>
      <w:proofErr w:type="gramStart"/>
      <w:r w:rsidRPr="00431AA9">
        <w:rPr>
          <w:rFonts w:ascii="Verdana" w:eastAsia="Times New Roman" w:hAnsi="Verdana" w:cs="Segoe UI"/>
          <w:sz w:val="24"/>
          <w:szCs w:val="24"/>
          <w:lang w:eastAsia="en-GB"/>
        </w:rPr>
        <w:t>contribute.</w:t>
      </w:r>
      <w:proofErr w:type="gramEnd"/>
      <w:r w:rsidRPr="00431AA9">
        <w:rPr>
          <w:rFonts w:ascii="Verdana" w:eastAsia="Times New Roman" w:hAnsi="Verdana" w:cs="Segoe UI"/>
          <w:sz w:val="24"/>
          <w:szCs w:val="24"/>
          <w:lang w:eastAsia="en-GB"/>
        </w:rPr>
        <w:t xml:space="preserve"> Including the views of children and young people in planning support and ways to help them better engage with support.</w:t>
      </w:r>
    </w:p>
    <w:p w:rsidR="007D21AA" w:rsidRPr="00431AA9" w:rsidRDefault="007D21AA" w:rsidP="007D21AA">
      <w:pPr>
        <w:spacing w:after="300" w:line="240" w:lineRule="auto"/>
        <w:jc w:val="both"/>
        <w:rPr>
          <w:rFonts w:ascii="Verdana" w:eastAsia="Times New Roman" w:hAnsi="Verdana" w:cs="Segoe UI"/>
          <w:sz w:val="24"/>
          <w:szCs w:val="24"/>
          <w:lang w:eastAsia="en-GB"/>
        </w:rPr>
      </w:pPr>
      <w:bookmarkStart w:id="0" w:name="_GoBack"/>
      <w:bookmarkEnd w:id="0"/>
    </w:p>
    <w:p w:rsidR="00431AA9" w:rsidRPr="00431AA9" w:rsidRDefault="00431AA9" w:rsidP="00431AA9">
      <w:pPr>
        <w:numPr>
          <w:ilvl w:val="0"/>
          <w:numId w:val="2"/>
        </w:numPr>
        <w:spacing w:after="300" w:line="240" w:lineRule="auto"/>
        <w:ind w:left="0"/>
        <w:jc w:val="both"/>
        <w:rPr>
          <w:rFonts w:ascii="Verdana" w:eastAsia="Times New Roman" w:hAnsi="Verdana" w:cs="Segoe UI"/>
          <w:sz w:val="24"/>
          <w:szCs w:val="24"/>
          <w:lang w:eastAsia="en-GB"/>
        </w:rPr>
      </w:pPr>
      <w:r w:rsidRPr="00431AA9">
        <w:rPr>
          <w:rFonts w:ascii="Verdana" w:eastAsia="Times New Roman" w:hAnsi="Verdana" w:cs="Segoe UI"/>
          <w:b/>
          <w:bCs/>
          <w:spacing w:val="5"/>
          <w:sz w:val="24"/>
          <w:szCs w:val="24"/>
          <w:lang w:eastAsia="en-GB"/>
        </w:rPr>
        <w:t>Module 14: What’s the story? The importance of narratives for mental health</w:t>
      </w:r>
      <w:r w:rsidRPr="00431AA9">
        <w:rPr>
          <w:rFonts w:ascii="Verdana" w:eastAsia="Times New Roman" w:hAnsi="Verdana" w:cs="Segoe UI"/>
          <w:sz w:val="24"/>
          <w:szCs w:val="24"/>
          <w:lang w:eastAsia="en-GB"/>
        </w:rPr>
        <w:t xml:space="preserve"> – Why is storytelling important? What skills are needed to tell a story? The impact of speech, language and communication needs (SLCN) on stories/narratives, and how we can help children and young people develop narrative skills.</w:t>
      </w:r>
    </w:p>
    <w:p w:rsidR="00431AA9" w:rsidRPr="00431AA9" w:rsidRDefault="00431AA9" w:rsidP="00431AA9">
      <w:pPr>
        <w:numPr>
          <w:ilvl w:val="0"/>
          <w:numId w:val="2"/>
        </w:numPr>
        <w:spacing w:after="300" w:line="240" w:lineRule="auto"/>
        <w:ind w:left="0"/>
        <w:jc w:val="both"/>
        <w:rPr>
          <w:rFonts w:ascii="Verdana" w:eastAsia="Times New Roman" w:hAnsi="Verdana" w:cs="Segoe UI"/>
          <w:sz w:val="24"/>
          <w:szCs w:val="24"/>
          <w:lang w:eastAsia="en-GB"/>
        </w:rPr>
      </w:pPr>
      <w:r w:rsidRPr="00431AA9">
        <w:rPr>
          <w:rFonts w:ascii="Verdana" w:eastAsia="Times New Roman" w:hAnsi="Verdana" w:cs="Segoe UI"/>
          <w:b/>
          <w:bCs/>
          <w:spacing w:val="5"/>
          <w:sz w:val="24"/>
          <w:szCs w:val="24"/>
          <w:lang w:eastAsia="en-GB"/>
        </w:rPr>
        <w:t>Module 15: Making interventions accessible</w:t>
      </w:r>
      <w:r w:rsidRPr="00431AA9">
        <w:rPr>
          <w:rFonts w:ascii="Verdana" w:eastAsia="Times New Roman" w:hAnsi="Verdana" w:cs="Segoe UI"/>
          <w:sz w:val="24"/>
          <w:szCs w:val="24"/>
          <w:lang w:eastAsia="en-GB"/>
        </w:rPr>
        <w:t xml:space="preserve"> – Why do we need to make interventions accessible? How does language make things inaccessible or accessible? Some solutions and examples.</w:t>
      </w:r>
    </w:p>
    <w:p w:rsidR="0085619F" w:rsidRPr="00431AA9" w:rsidRDefault="0085619F" w:rsidP="00431AA9">
      <w:pPr>
        <w:jc w:val="both"/>
        <w:rPr>
          <w:rFonts w:ascii="Verdana" w:hAnsi="Verdana"/>
        </w:rPr>
      </w:pPr>
    </w:p>
    <w:sectPr w:rsidR="0085619F" w:rsidRPr="00431AA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58B" w:rsidRDefault="004A158B" w:rsidP="00431AA9">
      <w:pPr>
        <w:spacing w:after="0" w:line="240" w:lineRule="auto"/>
      </w:pPr>
      <w:r>
        <w:separator/>
      </w:r>
    </w:p>
  </w:endnote>
  <w:endnote w:type="continuationSeparator" w:id="0">
    <w:p w:rsidR="004A158B" w:rsidRDefault="004A158B" w:rsidP="00431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58B" w:rsidRDefault="004A158B" w:rsidP="00431AA9">
      <w:pPr>
        <w:spacing w:after="0" w:line="240" w:lineRule="auto"/>
      </w:pPr>
      <w:r>
        <w:separator/>
      </w:r>
    </w:p>
  </w:footnote>
  <w:footnote w:type="continuationSeparator" w:id="0">
    <w:p w:rsidR="004A158B" w:rsidRDefault="004A158B" w:rsidP="00431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A9" w:rsidRDefault="00431AA9" w:rsidP="00431AA9">
    <w:pPr>
      <w:pStyle w:val="Header"/>
      <w:jc w:val="center"/>
    </w:pPr>
    <w:r>
      <w:rPr>
        <w:noProof/>
        <w:lang w:eastAsia="en-GB"/>
      </w:rPr>
      <w:drawing>
        <wp:inline distT="0" distB="0" distL="0" distR="0" wp14:anchorId="168AF23F" wp14:editId="30F52D14">
          <wp:extent cx="1866900" cy="134590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0047" t="31672" r="29935" b="17039"/>
                  <a:stretch/>
                </pic:blipFill>
                <pic:spPr bwMode="auto">
                  <a:xfrm>
                    <a:off x="0" y="0"/>
                    <a:ext cx="1873399" cy="13505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22131"/>
    <w:multiLevelType w:val="multilevel"/>
    <w:tmpl w:val="37BE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9670A4"/>
    <w:multiLevelType w:val="multilevel"/>
    <w:tmpl w:val="8B5E1BF4"/>
    <w:lvl w:ilvl="0">
      <w:start w:val="1"/>
      <w:numFmt w:val="decimal"/>
      <w:lvlText w:val="%1"/>
      <w:lvlJc w:val="left"/>
      <w:pPr>
        <w:tabs>
          <w:tab w:val="num" w:pos="720"/>
        </w:tabs>
        <w:ind w:left="720" w:hanging="360"/>
      </w:pPr>
      <w:rPr>
        <w:rFonts w:ascii="Verdana" w:eastAsia="Times New Roman" w:hAnsi="Verdana" w:cs="Segoe U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A9"/>
    <w:rsid w:val="00431AA9"/>
    <w:rsid w:val="004A158B"/>
    <w:rsid w:val="007D21AA"/>
    <w:rsid w:val="00856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F2882"/>
  <w15:chartTrackingRefBased/>
  <w15:docId w15:val="{C080BB16-05C8-46E9-BEA0-28A9791A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AA9"/>
    <w:pPr>
      <w:spacing w:after="0" w:line="240" w:lineRule="auto"/>
    </w:pPr>
  </w:style>
  <w:style w:type="paragraph" w:styleId="ListParagraph">
    <w:name w:val="List Paragraph"/>
    <w:basedOn w:val="Normal"/>
    <w:uiPriority w:val="34"/>
    <w:qFormat/>
    <w:rsid w:val="00431AA9"/>
    <w:pPr>
      <w:ind w:left="720"/>
      <w:contextualSpacing/>
    </w:pPr>
  </w:style>
  <w:style w:type="paragraph" w:styleId="Header">
    <w:name w:val="header"/>
    <w:basedOn w:val="Normal"/>
    <w:link w:val="HeaderChar"/>
    <w:uiPriority w:val="99"/>
    <w:unhideWhenUsed/>
    <w:rsid w:val="00431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AA9"/>
  </w:style>
  <w:style w:type="paragraph" w:styleId="Footer">
    <w:name w:val="footer"/>
    <w:basedOn w:val="Normal"/>
    <w:link w:val="FooterChar"/>
    <w:uiPriority w:val="99"/>
    <w:unhideWhenUsed/>
    <w:rsid w:val="00431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85451">
      <w:bodyDiv w:val="1"/>
      <w:marLeft w:val="0"/>
      <w:marRight w:val="0"/>
      <w:marTop w:val="0"/>
      <w:marBottom w:val="0"/>
      <w:divBdr>
        <w:top w:val="none" w:sz="0" w:space="0" w:color="auto"/>
        <w:left w:val="none" w:sz="0" w:space="0" w:color="auto"/>
        <w:bottom w:val="none" w:sz="0" w:space="0" w:color="auto"/>
        <w:right w:val="none" w:sz="0" w:space="0" w:color="auto"/>
      </w:divBdr>
      <w:divsChild>
        <w:div w:id="480080846">
          <w:marLeft w:val="0"/>
          <w:marRight w:val="0"/>
          <w:marTop w:val="0"/>
          <w:marBottom w:val="0"/>
          <w:divBdr>
            <w:top w:val="none" w:sz="0" w:space="0" w:color="auto"/>
            <w:left w:val="none" w:sz="0" w:space="0" w:color="auto"/>
            <w:bottom w:val="none" w:sz="0" w:space="0" w:color="auto"/>
            <w:right w:val="none" w:sz="0" w:space="0" w:color="auto"/>
          </w:divBdr>
          <w:divsChild>
            <w:div w:id="858591771">
              <w:marLeft w:val="0"/>
              <w:marRight w:val="0"/>
              <w:marTop w:val="0"/>
              <w:marBottom w:val="0"/>
              <w:divBdr>
                <w:top w:val="none" w:sz="0" w:space="0" w:color="auto"/>
                <w:left w:val="none" w:sz="0" w:space="0" w:color="auto"/>
                <w:bottom w:val="none" w:sz="0" w:space="0" w:color="auto"/>
                <w:right w:val="none" w:sz="0" w:space="0" w:color="auto"/>
              </w:divBdr>
              <w:divsChild>
                <w:div w:id="1635721523">
                  <w:marLeft w:val="0"/>
                  <w:marRight w:val="0"/>
                  <w:marTop w:val="0"/>
                  <w:marBottom w:val="0"/>
                  <w:divBdr>
                    <w:top w:val="none" w:sz="0" w:space="0" w:color="auto"/>
                    <w:left w:val="none" w:sz="0" w:space="0" w:color="auto"/>
                    <w:bottom w:val="none" w:sz="0" w:space="0" w:color="auto"/>
                    <w:right w:val="none" w:sz="0" w:space="0" w:color="auto"/>
                  </w:divBdr>
                  <w:divsChild>
                    <w:div w:id="433289257">
                      <w:marLeft w:val="0"/>
                      <w:marRight w:val="0"/>
                      <w:marTop w:val="0"/>
                      <w:marBottom w:val="0"/>
                      <w:divBdr>
                        <w:top w:val="none" w:sz="0" w:space="0" w:color="auto"/>
                        <w:left w:val="none" w:sz="0" w:space="0" w:color="auto"/>
                        <w:bottom w:val="none" w:sz="0" w:space="0" w:color="auto"/>
                        <w:right w:val="none" w:sz="0" w:space="0" w:color="auto"/>
                      </w:divBdr>
                      <w:divsChild>
                        <w:div w:id="570190783">
                          <w:marLeft w:val="0"/>
                          <w:marRight w:val="0"/>
                          <w:marTop w:val="0"/>
                          <w:marBottom w:val="0"/>
                          <w:divBdr>
                            <w:top w:val="none" w:sz="0" w:space="0" w:color="auto"/>
                            <w:left w:val="none" w:sz="0" w:space="0" w:color="auto"/>
                            <w:bottom w:val="none" w:sz="0" w:space="0" w:color="auto"/>
                            <w:right w:val="none" w:sz="0" w:space="0" w:color="auto"/>
                          </w:divBdr>
                          <w:divsChild>
                            <w:div w:id="6129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707887">
      <w:bodyDiv w:val="1"/>
      <w:marLeft w:val="0"/>
      <w:marRight w:val="0"/>
      <w:marTop w:val="0"/>
      <w:marBottom w:val="0"/>
      <w:divBdr>
        <w:top w:val="none" w:sz="0" w:space="0" w:color="auto"/>
        <w:left w:val="none" w:sz="0" w:space="0" w:color="auto"/>
        <w:bottom w:val="none" w:sz="0" w:space="0" w:color="auto"/>
        <w:right w:val="none" w:sz="0" w:space="0" w:color="auto"/>
      </w:divBdr>
      <w:divsChild>
        <w:div w:id="1204564287">
          <w:marLeft w:val="0"/>
          <w:marRight w:val="0"/>
          <w:marTop w:val="0"/>
          <w:marBottom w:val="0"/>
          <w:divBdr>
            <w:top w:val="none" w:sz="0" w:space="0" w:color="auto"/>
            <w:left w:val="none" w:sz="0" w:space="0" w:color="auto"/>
            <w:bottom w:val="none" w:sz="0" w:space="0" w:color="auto"/>
            <w:right w:val="none" w:sz="0" w:space="0" w:color="auto"/>
          </w:divBdr>
          <w:divsChild>
            <w:div w:id="337274796">
              <w:marLeft w:val="0"/>
              <w:marRight w:val="0"/>
              <w:marTop w:val="0"/>
              <w:marBottom w:val="0"/>
              <w:divBdr>
                <w:top w:val="none" w:sz="0" w:space="0" w:color="auto"/>
                <w:left w:val="none" w:sz="0" w:space="0" w:color="auto"/>
                <w:bottom w:val="none" w:sz="0" w:space="0" w:color="auto"/>
                <w:right w:val="none" w:sz="0" w:space="0" w:color="auto"/>
              </w:divBdr>
              <w:divsChild>
                <w:div w:id="541868888">
                  <w:marLeft w:val="0"/>
                  <w:marRight w:val="0"/>
                  <w:marTop w:val="0"/>
                  <w:marBottom w:val="0"/>
                  <w:divBdr>
                    <w:top w:val="none" w:sz="0" w:space="0" w:color="auto"/>
                    <w:left w:val="none" w:sz="0" w:space="0" w:color="auto"/>
                    <w:bottom w:val="none" w:sz="0" w:space="0" w:color="auto"/>
                    <w:right w:val="none" w:sz="0" w:space="0" w:color="auto"/>
                  </w:divBdr>
                  <w:divsChild>
                    <w:div w:id="609092846">
                      <w:marLeft w:val="0"/>
                      <w:marRight w:val="0"/>
                      <w:marTop w:val="0"/>
                      <w:marBottom w:val="0"/>
                      <w:divBdr>
                        <w:top w:val="none" w:sz="0" w:space="0" w:color="auto"/>
                        <w:left w:val="none" w:sz="0" w:space="0" w:color="auto"/>
                        <w:bottom w:val="none" w:sz="0" w:space="0" w:color="auto"/>
                        <w:right w:val="none" w:sz="0" w:space="0" w:color="auto"/>
                      </w:divBdr>
                      <w:divsChild>
                        <w:div w:id="913201953">
                          <w:marLeft w:val="0"/>
                          <w:marRight w:val="0"/>
                          <w:marTop w:val="0"/>
                          <w:marBottom w:val="0"/>
                          <w:divBdr>
                            <w:top w:val="none" w:sz="0" w:space="0" w:color="auto"/>
                            <w:left w:val="none" w:sz="0" w:space="0" w:color="auto"/>
                            <w:bottom w:val="none" w:sz="0" w:space="0" w:color="auto"/>
                            <w:right w:val="none" w:sz="0" w:space="0" w:color="auto"/>
                          </w:divBdr>
                          <w:divsChild>
                            <w:div w:id="12904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sltcpd.org.uk/cpanel/signup" TargetMode="External"/><Relationship Id="rId3" Type="http://schemas.openxmlformats.org/officeDocument/2006/relationships/settings" Target="settings.xml"/><Relationship Id="rId7" Type="http://schemas.openxmlformats.org/officeDocument/2006/relationships/hyperlink" Target="https://www.rcsltcp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Jenkins</dc:creator>
  <cp:keywords/>
  <dc:description/>
  <cp:lastModifiedBy>Kim Jenkins</cp:lastModifiedBy>
  <cp:revision>1</cp:revision>
  <dcterms:created xsi:type="dcterms:W3CDTF">2021-09-27T15:54:00Z</dcterms:created>
  <dcterms:modified xsi:type="dcterms:W3CDTF">2021-09-27T16:07:00Z</dcterms:modified>
</cp:coreProperties>
</file>