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F2EE" w14:textId="77777777" w:rsidR="00DD590A" w:rsidRPr="00DD590A" w:rsidRDefault="00AD7C9D" w:rsidP="00DD590A">
      <w:pPr>
        <w:jc w:val="center"/>
      </w:pPr>
      <w:r w:rsidRPr="00797859">
        <w:rPr>
          <w:noProof/>
          <w:lang w:eastAsia="en-GB"/>
        </w:rPr>
        <w:drawing>
          <wp:inline distT="0" distB="0" distL="0" distR="0" wp14:anchorId="305576AD" wp14:editId="59B69327">
            <wp:extent cx="1524000" cy="1524000"/>
            <wp:effectExtent l="0" t="0" r="0" b="0"/>
            <wp:docPr id="1"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35078CB8" w14:textId="77777777" w:rsidR="00B07464" w:rsidRDefault="00B07464" w:rsidP="00DD590A">
      <w:pPr>
        <w:widowControl w:val="0"/>
        <w:spacing w:after="0" w:line="240" w:lineRule="auto"/>
        <w:ind w:left="1985" w:hanging="1985"/>
        <w:jc w:val="center"/>
        <w:rPr>
          <w:rFonts w:ascii="Arial" w:eastAsia="Calibri" w:hAnsi="Arial" w:cs="Arial"/>
          <w:b/>
          <w:sz w:val="32"/>
          <w:szCs w:val="32"/>
          <w:lang w:val="en-US"/>
        </w:rPr>
      </w:pPr>
    </w:p>
    <w:p w14:paraId="7DAE2F34" w14:textId="77777777" w:rsidR="00B07464" w:rsidRPr="00720707" w:rsidRDefault="00B07464" w:rsidP="00720707">
      <w:pPr>
        <w:widowControl w:val="0"/>
        <w:spacing w:after="0" w:line="240" w:lineRule="auto"/>
        <w:ind w:left="1985" w:hanging="1985"/>
        <w:jc w:val="center"/>
        <w:rPr>
          <w:rFonts w:eastAsia="Calibri" w:cstheme="minorHAnsi"/>
          <w:b/>
          <w:sz w:val="32"/>
          <w:szCs w:val="32"/>
          <w:lang w:val="en-US"/>
        </w:rPr>
      </w:pPr>
      <w:r w:rsidRPr="00720707">
        <w:rPr>
          <w:rFonts w:eastAsia="Calibri" w:cstheme="minorHAnsi"/>
          <w:b/>
          <w:sz w:val="32"/>
          <w:szCs w:val="32"/>
          <w:lang w:val="en-US"/>
        </w:rPr>
        <w:t>WEST GLAMORGAN SAFEGUARDING BOARD</w:t>
      </w:r>
    </w:p>
    <w:p w14:paraId="1E55DF38" w14:textId="77777777" w:rsidR="00DD590A" w:rsidRPr="00DD590A" w:rsidRDefault="00DD590A" w:rsidP="00720707">
      <w:pPr>
        <w:widowControl w:val="0"/>
        <w:spacing w:after="0" w:line="240" w:lineRule="auto"/>
        <w:ind w:left="1985" w:hanging="1985"/>
        <w:jc w:val="center"/>
        <w:rPr>
          <w:rFonts w:ascii="Arial" w:eastAsia="Calibri" w:hAnsi="Arial" w:cs="Arial"/>
          <w:b/>
          <w:sz w:val="32"/>
          <w:szCs w:val="32"/>
          <w:lang w:val="en-US"/>
        </w:rPr>
      </w:pPr>
    </w:p>
    <w:p w14:paraId="5F612E99" w14:textId="77777777" w:rsidR="00DD590A" w:rsidRPr="00720707" w:rsidRDefault="00DD590A" w:rsidP="00720707">
      <w:pPr>
        <w:widowControl w:val="0"/>
        <w:spacing w:after="0" w:line="240" w:lineRule="auto"/>
        <w:jc w:val="center"/>
        <w:rPr>
          <w:rFonts w:eastAsia="Calibri" w:cstheme="minorHAnsi"/>
          <w:b/>
          <w:sz w:val="32"/>
          <w:szCs w:val="32"/>
          <w:lang w:val="en-US"/>
        </w:rPr>
      </w:pPr>
      <w:r w:rsidRPr="00720707">
        <w:rPr>
          <w:rFonts w:eastAsia="Calibri" w:cstheme="minorHAnsi"/>
          <w:b/>
          <w:sz w:val="32"/>
          <w:szCs w:val="32"/>
          <w:lang w:val="en-US"/>
        </w:rPr>
        <w:t>Adult Practice Review Report</w:t>
      </w:r>
    </w:p>
    <w:p w14:paraId="2E4599D2" w14:textId="77777777" w:rsidR="00DD590A" w:rsidRPr="00DD590A" w:rsidRDefault="00DD590A" w:rsidP="00DD590A">
      <w:pPr>
        <w:widowControl w:val="0"/>
        <w:spacing w:after="0" w:line="240" w:lineRule="auto"/>
        <w:ind w:left="1985"/>
        <w:rPr>
          <w:rFonts w:ascii="Arial" w:eastAsia="Calibri" w:hAnsi="Arial" w:cs="Arial"/>
          <w:b/>
          <w:sz w:val="32"/>
          <w:szCs w:val="32"/>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DD590A" w:rsidRPr="00B07464" w14:paraId="17588256" w14:textId="77777777" w:rsidTr="00DD590A">
        <w:trPr>
          <w:trHeight w:val="396"/>
          <w:jc w:val="center"/>
        </w:trPr>
        <w:tc>
          <w:tcPr>
            <w:tcW w:w="9142" w:type="dxa"/>
            <w:tcBorders>
              <w:top w:val="single" w:sz="4" w:space="0" w:color="auto"/>
              <w:left w:val="single" w:sz="4" w:space="0" w:color="auto"/>
              <w:bottom w:val="single" w:sz="4" w:space="0" w:color="auto"/>
              <w:right w:val="single" w:sz="4" w:space="0" w:color="auto"/>
            </w:tcBorders>
            <w:shd w:val="pct25" w:color="auto" w:fill="auto"/>
            <w:vAlign w:val="center"/>
          </w:tcPr>
          <w:p w14:paraId="3F2AD8E4" w14:textId="77777777" w:rsidR="00DD590A" w:rsidRPr="00720707"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eastAsia="Calibri" w:cstheme="minorHAnsi"/>
                <w:b/>
                <w:lang w:val="en-US"/>
              </w:rPr>
            </w:pPr>
          </w:p>
          <w:p w14:paraId="69CF873B" w14:textId="77777777" w:rsidR="00DD590A" w:rsidRPr="00720707" w:rsidRDefault="00F52D21" w:rsidP="00DD590A">
            <w:pPr>
              <w:widowControl w:val="0"/>
              <w:tabs>
                <w:tab w:val="left" w:pos="3120"/>
                <w:tab w:val="center" w:pos="4513"/>
                <w:tab w:val="left" w:pos="4800"/>
                <w:tab w:val="left" w:pos="6480"/>
                <w:tab w:val="left" w:pos="7920"/>
                <w:tab w:val="right" w:pos="9026"/>
              </w:tabs>
              <w:spacing w:after="120" w:line="240" w:lineRule="auto"/>
              <w:jc w:val="center"/>
              <w:rPr>
                <w:rFonts w:eastAsia="Calibri" w:cstheme="minorHAnsi"/>
                <w:b/>
                <w:sz w:val="24"/>
                <w:szCs w:val="24"/>
                <w:lang w:val="en-US"/>
              </w:rPr>
            </w:pPr>
            <w:r w:rsidRPr="00720707">
              <w:rPr>
                <w:rFonts w:eastAsia="Calibri" w:cstheme="minorHAnsi"/>
                <w:b/>
                <w:bCs/>
                <w:iCs/>
                <w:sz w:val="24"/>
                <w:szCs w:val="24"/>
                <w:lang w:val="en-US"/>
              </w:rPr>
              <w:t>West Glamorgan</w:t>
            </w:r>
            <w:r w:rsidR="00DD590A" w:rsidRPr="00720707">
              <w:rPr>
                <w:rFonts w:eastAsia="Calibri" w:cstheme="minorHAnsi"/>
                <w:i/>
                <w:sz w:val="24"/>
                <w:szCs w:val="24"/>
                <w:lang w:val="en-US"/>
              </w:rPr>
              <w:t xml:space="preserve"> </w:t>
            </w:r>
            <w:r w:rsidR="00DD590A" w:rsidRPr="00720707">
              <w:rPr>
                <w:rFonts w:eastAsia="Calibri" w:cstheme="minorHAnsi"/>
                <w:b/>
                <w:sz w:val="24"/>
                <w:szCs w:val="24"/>
                <w:lang w:val="en-US"/>
              </w:rPr>
              <w:t>Safeguarding Adults Board</w:t>
            </w:r>
          </w:p>
          <w:p w14:paraId="5983CB8F" w14:textId="77777777" w:rsidR="00DD590A" w:rsidRPr="00720707" w:rsidRDefault="00DD590A" w:rsidP="00DD590A">
            <w:pPr>
              <w:widowControl w:val="0"/>
              <w:tabs>
                <w:tab w:val="left" w:pos="3120"/>
                <w:tab w:val="center" w:pos="4513"/>
                <w:tab w:val="left" w:pos="4800"/>
                <w:tab w:val="left" w:pos="6480"/>
                <w:tab w:val="left" w:pos="7920"/>
                <w:tab w:val="right" w:pos="9026"/>
              </w:tabs>
              <w:spacing w:after="120" w:line="240" w:lineRule="auto"/>
              <w:jc w:val="center"/>
              <w:rPr>
                <w:rFonts w:eastAsia="Calibri" w:cstheme="minorHAnsi"/>
                <w:b/>
                <w:i/>
                <w:sz w:val="24"/>
                <w:szCs w:val="24"/>
                <w:lang w:val="en-US"/>
              </w:rPr>
            </w:pPr>
            <w:r w:rsidRPr="00720707">
              <w:rPr>
                <w:rFonts w:eastAsia="Calibri" w:cstheme="minorHAnsi"/>
                <w:b/>
                <w:sz w:val="24"/>
                <w:szCs w:val="24"/>
                <w:lang w:val="en-US"/>
              </w:rPr>
              <w:t>Extended Adult Practice Review</w:t>
            </w:r>
          </w:p>
          <w:p w14:paraId="302500B8" w14:textId="77777777" w:rsidR="00DD590A" w:rsidRPr="00720707" w:rsidRDefault="00DD590A" w:rsidP="00DD590A">
            <w:pPr>
              <w:widowControl w:val="0"/>
              <w:tabs>
                <w:tab w:val="left" w:pos="3120"/>
                <w:tab w:val="center" w:pos="4513"/>
                <w:tab w:val="left" w:pos="4800"/>
                <w:tab w:val="left" w:pos="6480"/>
                <w:tab w:val="left" w:pos="7920"/>
                <w:tab w:val="right" w:pos="9026"/>
              </w:tabs>
              <w:spacing w:after="120" w:line="240" w:lineRule="auto"/>
              <w:jc w:val="center"/>
              <w:rPr>
                <w:rFonts w:eastAsia="Calibri" w:cstheme="minorHAnsi"/>
                <w:b/>
                <w:bCs/>
                <w:iCs/>
                <w:sz w:val="24"/>
                <w:szCs w:val="24"/>
                <w:lang w:val="en-US"/>
              </w:rPr>
            </w:pPr>
            <w:r w:rsidRPr="00720707">
              <w:rPr>
                <w:rFonts w:eastAsia="Calibri" w:cstheme="minorHAnsi"/>
                <w:b/>
                <w:sz w:val="24"/>
                <w:szCs w:val="24"/>
                <w:lang w:val="en-US"/>
              </w:rPr>
              <w:t xml:space="preserve">Re: </w:t>
            </w:r>
            <w:r w:rsidR="00D05B9A" w:rsidRPr="00720707">
              <w:rPr>
                <w:rFonts w:eastAsia="Calibri" w:cstheme="minorHAnsi"/>
                <w:b/>
                <w:bCs/>
                <w:iCs/>
                <w:sz w:val="24"/>
                <w:szCs w:val="24"/>
                <w:lang w:val="en-US"/>
              </w:rPr>
              <w:t>WGA S23 2022</w:t>
            </w:r>
          </w:p>
          <w:p w14:paraId="16996F8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p>
        </w:tc>
      </w:tr>
    </w:tbl>
    <w:p w14:paraId="398CCD1F" w14:textId="77777777" w:rsidR="00DD590A" w:rsidRPr="00B07464" w:rsidRDefault="00DD590A" w:rsidP="00DD590A">
      <w:pPr>
        <w:widowControl w:val="0"/>
        <w:spacing w:after="0" w:line="240" w:lineRule="auto"/>
        <w:ind w:left="1985"/>
        <w:rPr>
          <w:rFonts w:ascii="Arial" w:eastAsia="Calibri" w:hAnsi="Arial" w:cs="Arial"/>
          <w:b/>
          <w:i/>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072B30" w:rsidRPr="00B07464" w14:paraId="02560577" w14:textId="77777777" w:rsidTr="00072B30">
        <w:trPr>
          <w:trHeight w:val="73"/>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tcPr>
          <w:p w14:paraId="69A5FAB9" w14:textId="77777777" w:rsidR="00072B30" w:rsidRPr="00720707" w:rsidRDefault="00072B30" w:rsidP="00072B30">
            <w:pPr>
              <w:widowControl w:val="0"/>
              <w:spacing w:before="120" w:after="120" w:line="240" w:lineRule="auto"/>
              <w:ind w:left="357"/>
              <w:jc w:val="center"/>
              <w:rPr>
                <w:rFonts w:eastAsia="Calibri" w:cstheme="minorHAnsi"/>
                <w:b/>
                <w:sz w:val="24"/>
                <w:szCs w:val="24"/>
                <w:lang w:val="en-US"/>
              </w:rPr>
            </w:pPr>
            <w:r w:rsidRPr="00720707">
              <w:rPr>
                <w:rFonts w:eastAsia="Calibri" w:cstheme="minorHAnsi"/>
                <w:b/>
                <w:sz w:val="24"/>
                <w:szCs w:val="24"/>
                <w:lang w:val="en-US"/>
              </w:rPr>
              <w:t xml:space="preserve">Brief Outline of Circumstances Resulting </w:t>
            </w:r>
            <w:proofErr w:type="gramStart"/>
            <w:r w:rsidRPr="00720707">
              <w:rPr>
                <w:rFonts w:eastAsia="Calibri" w:cstheme="minorHAnsi"/>
                <w:b/>
                <w:sz w:val="24"/>
                <w:szCs w:val="24"/>
                <w:lang w:val="en-US"/>
              </w:rPr>
              <w:t>In</w:t>
            </w:r>
            <w:proofErr w:type="gramEnd"/>
            <w:r w:rsidRPr="00720707">
              <w:rPr>
                <w:rFonts w:eastAsia="Calibri" w:cstheme="minorHAnsi"/>
                <w:b/>
                <w:sz w:val="24"/>
                <w:szCs w:val="24"/>
                <w:lang w:val="en-US"/>
              </w:rPr>
              <w:t xml:space="preserve"> </w:t>
            </w:r>
            <w:proofErr w:type="gramStart"/>
            <w:r w:rsidRPr="00720707">
              <w:rPr>
                <w:rFonts w:eastAsia="Calibri" w:cstheme="minorHAnsi"/>
                <w:b/>
                <w:sz w:val="24"/>
                <w:szCs w:val="24"/>
                <w:lang w:val="en-US"/>
              </w:rPr>
              <w:t>The</w:t>
            </w:r>
            <w:proofErr w:type="gramEnd"/>
            <w:r w:rsidRPr="00720707">
              <w:rPr>
                <w:rFonts w:eastAsia="Calibri" w:cstheme="minorHAnsi"/>
                <w:b/>
                <w:sz w:val="24"/>
                <w:szCs w:val="24"/>
                <w:lang w:val="en-US"/>
              </w:rPr>
              <w:t xml:space="preserve"> Review</w:t>
            </w:r>
          </w:p>
          <w:p w14:paraId="1F906A98" w14:textId="77777777" w:rsidR="00072B30" w:rsidRPr="00B07464" w:rsidRDefault="00072B30" w:rsidP="00072B30">
            <w:pPr>
              <w:widowControl w:val="0"/>
              <w:spacing w:before="120" w:after="120" w:line="240" w:lineRule="auto"/>
              <w:ind w:left="357"/>
              <w:jc w:val="center"/>
              <w:rPr>
                <w:rFonts w:ascii="Arial" w:eastAsia="Calibri" w:hAnsi="Arial" w:cs="Arial"/>
                <w:b/>
                <w:lang w:val="en-US"/>
              </w:rPr>
            </w:pPr>
          </w:p>
        </w:tc>
      </w:tr>
      <w:tr w:rsidR="00DD590A" w:rsidRPr="00720707" w14:paraId="2B35E09B" w14:textId="77777777" w:rsidTr="00592304">
        <w:trPr>
          <w:trHeight w:val="557"/>
          <w:jc w:val="center"/>
        </w:trPr>
        <w:tc>
          <w:tcPr>
            <w:tcW w:w="9142" w:type="dxa"/>
            <w:tcBorders>
              <w:top w:val="single" w:sz="4" w:space="0" w:color="auto"/>
              <w:left w:val="single" w:sz="4" w:space="0" w:color="auto"/>
              <w:bottom w:val="single" w:sz="4" w:space="0" w:color="auto"/>
              <w:right w:val="single" w:sz="4" w:space="0" w:color="auto"/>
            </w:tcBorders>
          </w:tcPr>
          <w:p w14:paraId="391C5B35" w14:textId="6804E645" w:rsidR="00DD590A" w:rsidRPr="00720707" w:rsidRDefault="00DD590A" w:rsidP="005E1DF2">
            <w:pPr>
              <w:widowControl w:val="0"/>
              <w:spacing w:before="120" w:after="120" w:line="240" w:lineRule="auto"/>
              <w:rPr>
                <w:rFonts w:eastAsia="Calibri" w:cstheme="minorHAnsi"/>
                <w:i/>
                <w:sz w:val="24"/>
                <w:szCs w:val="24"/>
                <w:lang w:val="en-US"/>
              </w:rPr>
            </w:pPr>
            <w:r w:rsidRPr="00720707">
              <w:rPr>
                <w:rFonts w:eastAsia="Calibri" w:cstheme="minorHAnsi"/>
                <w:sz w:val="24"/>
                <w:szCs w:val="24"/>
                <w:lang w:val="en-US"/>
              </w:rPr>
              <w:t xml:space="preserve">An </w:t>
            </w:r>
            <w:r w:rsidR="00D05B9A" w:rsidRPr="00720707">
              <w:rPr>
                <w:rFonts w:eastAsia="Calibri" w:cstheme="minorHAnsi"/>
                <w:sz w:val="24"/>
                <w:szCs w:val="24"/>
                <w:lang w:val="en-US"/>
              </w:rPr>
              <w:t>adult practice</w:t>
            </w:r>
            <w:r w:rsidRPr="00720707">
              <w:rPr>
                <w:rFonts w:eastAsia="Calibri" w:cstheme="minorHAnsi"/>
                <w:sz w:val="24"/>
                <w:szCs w:val="24"/>
                <w:lang w:val="en-US"/>
              </w:rPr>
              <w:t xml:space="preserve"> review was commissioned by</w:t>
            </w:r>
            <w:r w:rsidR="00D05B9A" w:rsidRPr="00720707">
              <w:rPr>
                <w:rFonts w:eastAsia="Calibri" w:cstheme="minorHAnsi"/>
                <w:sz w:val="24"/>
                <w:szCs w:val="24"/>
                <w:lang w:val="en-US"/>
              </w:rPr>
              <w:t xml:space="preserve"> West Glamorgan Safeguarding Adults</w:t>
            </w:r>
            <w:r w:rsidRPr="00720707">
              <w:rPr>
                <w:rFonts w:eastAsia="Calibri" w:cstheme="minorHAnsi"/>
                <w:i/>
                <w:sz w:val="24"/>
                <w:szCs w:val="24"/>
                <w:lang w:val="en-US"/>
              </w:rPr>
              <w:t xml:space="preserve"> </w:t>
            </w:r>
            <w:r w:rsidRPr="00720707">
              <w:rPr>
                <w:rFonts w:eastAsia="Calibri" w:cstheme="minorHAnsi"/>
                <w:sz w:val="24"/>
                <w:szCs w:val="24"/>
                <w:lang w:val="en-US"/>
              </w:rPr>
              <w:t xml:space="preserve">Board on the recommendation of the Practice Review </w:t>
            </w:r>
            <w:r w:rsidR="009476AB">
              <w:rPr>
                <w:rFonts w:eastAsia="Calibri" w:cstheme="minorHAnsi"/>
                <w:sz w:val="24"/>
                <w:szCs w:val="24"/>
                <w:lang w:val="en-US"/>
              </w:rPr>
              <w:t xml:space="preserve">Management </w:t>
            </w:r>
            <w:r w:rsidRPr="00720707">
              <w:rPr>
                <w:rFonts w:eastAsia="Calibri" w:cstheme="minorHAnsi"/>
                <w:sz w:val="24"/>
                <w:szCs w:val="24"/>
                <w:lang w:val="en-US"/>
              </w:rPr>
              <w:t>Group in accordance with the Guidance for Adult Practice Reviews. The criteria for this review are met under</w:t>
            </w:r>
            <w:r w:rsidRPr="00720707">
              <w:rPr>
                <w:rFonts w:eastAsia="Calibri" w:cstheme="minorHAnsi"/>
                <w:i/>
                <w:sz w:val="24"/>
                <w:szCs w:val="24"/>
                <w:lang w:val="en-US"/>
              </w:rPr>
              <w:t>:</w:t>
            </w:r>
          </w:p>
          <w:p w14:paraId="0FE3C3D8" w14:textId="77777777" w:rsidR="00C6108A" w:rsidRPr="00720707" w:rsidRDefault="00C6108A" w:rsidP="005E1DF2">
            <w:pPr>
              <w:widowControl w:val="0"/>
              <w:spacing w:before="120" w:after="120" w:line="240" w:lineRule="auto"/>
              <w:rPr>
                <w:rFonts w:eastAsia="Calibri" w:cstheme="minorHAnsi"/>
                <w:sz w:val="24"/>
                <w:szCs w:val="24"/>
                <w:lang w:val="en-US"/>
              </w:rPr>
            </w:pPr>
          </w:p>
          <w:p w14:paraId="2FDCF9CE" w14:textId="77777777" w:rsidR="00C6108A" w:rsidRPr="00720707" w:rsidRDefault="00C6108A" w:rsidP="00C6108A">
            <w:pPr>
              <w:spacing w:line="240" w:lineRule="auto"/>
              <w:jc w:val="both"/>
              <w:rPr>
                <w:rFonts w:cstheme="minorHAnsi"/>
                <w:sz w:val="24"/>
                <w:szCs w:val="24"/>
              </w:rPr>
            </w:pPr>
            <w:r w:rsidRPr="00720707">
              <w:rPr>
                <w:rFonts w:cstheme="minorHAnsi"/>
                <w:sz w:val="24"/>
                <w:szCs w:val="24"/>
              </w:rPr>
              <w:t xml:space="preserve">An Extended Adult Practice Review (APR) has been undertaken in line with the Social Services and Well-being (Wales) Act 2014 “Working Together to Safeguard People Volume 3”. The guidance states that an Extended Review must be commissioned by the Safeguarding Board where an adult at risk who has, on any date during the 6 months preceding the date of the event, been a person in respect of whom a local authority has determined to take action to protect them from abuse or neglect following an enquiry by a local authority, and has: </w:t>
            </w:r>
          </w:p>
          <w:p w14:paraId="4B68207D" w14:textId="77777777" w:rsidR="00C6108A" w:rsidRPr="00720707" w:rsidRDefault="00C6108A" w:rsidP="00C6108A">
            <w:pPr>
              <w:pStyle w:val="ListParagraph"/>
              <w:numPr>
                <w:ilvl w:val="0"/>
                <w:numId w:val="9"/>
              </w:numPr>
              <w:jc w:val="both"/>
              <w:rPr>
                <w:rFonts w:cstheme="minorHAnsi"/>
                <w:sz w:val="24"/>
                <w:szCs w:val="24"/>
              </w:rPr>
            </w:pPr>
            <w:r w:rsidRPr="00720707">
              <w:rPr>
                <w:rFonts w:cstheme="minorHAnsi"/>
                <w:sz w:val="24"/>
                <w:szCs w:val="24"/>
              </w:rPr>
              <w:t>Died; or</w:t>
            </w:r>
          </w:p>
          <w:p w14:paraId="74B32E47" w14:textId="77777777" w:rsidR="00C6108A" w:rsidRPr="00720707" w:rsidRDefault="00C6108A" w:rsidP="00C6108A">
            <w:pPr>
              <w:pStyle w:val="ListParagraph"/>
              <w:numPr>
                <w:ilvl w:val="0"/>
                <w:numId w:val="9"/>
              </w:numPr>
              <w:jc w:val="both"/>
              <w:rPr>
                <w:rFonts w:cstheme="minorHAnsi"/>
                <w:sz w:val="24"/>
                <w:szCs w:val="24"/>
              </w:rPr>
            </w:pPr>
            <w:r w:rsidRPr="00720707">
              <w:rPr>
                <w:rFonts w:cstheme="minorHAnsi"/>
                <w:sz w:val="24"/>
                <w:szCs w:val="24"/>
              </w:rPr>
              <w:t>Sustained potentially life-threatening injury; or</w:t>
            </w:r>
          </w:p>
          <w:p w14:paraId="190355F4" w14:textId="77777777" w:rsidR="00C6108A" w:rsidRPr="00720707" w:rsidRDefault="00C6108A" w:rsidP="00C6108A">
            <w:pPr>
              <w:pStyle w:val="ListParagraph"/>
              <w:numPr>
                <w:ilvl w:val="0"/>
                <w:numId w:val="9"/>
              </w:numPr>
              <w:jc w:val="both"/>
              <w:rPr>
                <w:rFonts w:cstheme="minorHAnsi"/>
                <w:sz w:val="24"/>
                <w:szCs w:val="24"/>
              </w:rPr>
            </w:pPr>
            <w:r w:rsidRPr="00720707">
              <w:rPr>
                <w:rFonts w:cstheme="minorHAnsi"/>
                <w:sz w:val="24"/>
                <w:szCs w:val="24"/>
              </w:rPr>
              <w:t>Sustained serious and permanent impairment of health.</w:t>
            </w:r>
          </w:p>
          <w:p w14:paraId="3005245E" w14:textId="77777777" w:rsidR="00C6108A" w:rsidRPr="00720707" w:rsidRDefault="00C6108A" w:rsidP="005E1DF2">
            <w:pPr>
              <w:widowControl w:val="0"/>
              <w:spacing w:before="120" w:after="120" w:line="240" w:lineRule="auto"/>
              <w:rPr>
                <w:rFonts w:eastAsia="Calibri" w:cstheme="minorHAnsi"/>
                <w:sz w:val="24"/>
                <w:szCs w:val="24"/>
                <w:lang w:val="en-US"/>
              </w:rPr>
            </w:pPr>
          </w:p>
          <w:p w14:paraId="505102DD" w14:textId="77777777" w:rsidR="00B23A1F" w:rsidRPr="00720707" w:rsidRDefault="00B23A1F" w:rsidP="005E1DF2">
            <w:pPr>
              <w:spacing w:before="120" w:after="120" w:line="240" w:lineRule="auto"/>
              <w:rPr>
                <w:rFonts w:eastAsia="Arial Unicode MS" w:cstheme="minorHAnsi"/>
                <w:b/>
                <w:sz w:val="24"/>
                <w:szCs w:val="24"/>
              </w:rPr>
            </w:pPr>
            <w:r w:rsidRPr="00720707">
              <w:rPr>
                <w:rFonts w:eastAsia="Arial Unicode MS" w:cstheme="minorHAnsi"/>
                <w:b/>
                <w:sz w:val="24"/>
                <w:szCs w:val="24"/>
              </w:rPr>
              <w:t xml:space="preserve">Methodology and Scope of the review.   </w:t>
            </w:r>
          </w:p>
          <w:p w14:paraId="4EE7B485" w14:textId="77777777" w:rsidR="00FB76AE"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The scope of the review was from 24</w:t>
            </w:r>
            <w:r w:rsidRPr="00720707">
              <w:rPr>
                <w:rFonts w:eastAsia="Arial Unicode MS" w:cstheme="minorHAnsi"/>
                <w:sz w:val="24"/>
                <w:szCs w:val="24"/>
                <w:vertAlign w:val="superscript"/>
              </w:rPr>
              <w:t>th</w:t>
            </w:r>
            <w:r w:rsidRPr="00720707">
              <w:rPr>
                <w:rFonts w:eastAsia="Arial Unicode MS" w:cstheme="minorHAnsi"/>
                <w:sz w:val="24"/>
                <w:szCs w:val="24"/>
              </w:rPr>
              <w:t xml:space="preserve"> October 2019 to 9</w:t>
            </w:r>
            <w:r w:rsidRPr="00720707">
              <w:rPr>
                <w:rFonts w:eastAsia="Arial Unicode MS" w:cstheme="minorHAnsi"/>
                <w:sz w:val="24"/>
                <w:szCs w:val="24"/>
                <w:vertAlign w:val="superscript"/>
              </w:rPr>
              <w:t>th</w:t>
            </w:r>
            <w:r w:rsidRPr="00720707">
              <w:rPr>
                <w:rFonts w:eastAsia="Arial Unicode MS" w:cstheme="minorHAnsi"/>
                <w:sz w:val="24"/>
                <w:szCs w:val="24"/>
              </w:rPr>
              <w:t xml:space="preserve"> February 2023.  </w:t>
            </w:r>
            <w:r w:rsidR="00FB76AE" w:rsidRPr="00720707">
              <w:rPr>
                <w:rFonts w:eastAsia="Arial Unicode MS" w:cstheme="minorHAnsi"/>
                <w:sz w:val="24"/>
                <w:szCs w:val="24"/>
              </w:rPr>
              <w:t>The review considered a summary of relevant events prior to these dates to ensure all contextual issues were covered.</w:t>
            </w:r>
          </w:p>
          <w:p w14:paraId="2A054329" w14:textId="77777777" w:rsidR="00B23A1F"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Following the decision to carry out this Review, an Adult Practice Review Panel was formed comprising of the following:  </w:t>
            </w:r>
          </w:p>
          <w:p w14:paraId="26EE4480" w14:textId="77777777" w:rsidR="00B23A1F"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lastRenderedPageBreak/>
              <w:t>Chair:  Bryan Heard, South Wales Police</w:t>
            </w:r>
          </w:p>
          <w:p w14:paraId="1DC6BCB7" w14:textId="77777777" w:rsidR="00B23A1F"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Independent Reviewers:  Steve Chamberlain (independent social worker), Lisa Morris (Neath Port Talbot Council)</w:t>
            </w:r>
          </w:p>
          <w:p w14:paraId="6C4286A1" w14:textId="77777777" w:rsidR="00B23A1F"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Panel Members:      </w:t>
            </w:r>
          </w:p>
          <w:p w14:paraId="4F33B9A3" w14:textId="2365782D"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Swansea Bay University Health Board</w:t>
            </w:r>
          </w:p>
          <w:p w14:paraId="0E657277" w14:textId="77777777"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Swansea Council, social services</w:t>
            </w:r>
          </w:p>
          <w:p w14:paraId="64E5074F" w14:textId="77777777"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Bridgend Council, social services</w:t>
            </w:r>
          </w:p>
          <w:p w14:paraId="415657DD" w14:textId="77777777"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HMP Parc</w:t>
            </w:r>
          </w:p>
          <w:p w14:paraId="28757DEC" w14:textId="25128F0E"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Probation Service</w:t>
            </w:r>
          </w:p>
          <w:p w14:paraId="3E6C88E5" w14:textId="77777777" w:rsidR="00B23A1F" w:rsidRPr="00720707" w:rsidRDefault="00B23A1F" w:rsidP="005E1DF2">
            <w:pPr>
              <w:pStyle w:val="ListParagraph"/>
              <w:numPr>
                <w:ilvl w:val="0"/>
                <w:numId w:val="4"/>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South Wales Police</w:t>
            </w:r>
          </w:p>
          <w:p w14:paraId="64CCA1F0" w14:textId="77777777" w:rsidR="00B23A1F" w:rsidRPr="00720707" w:rsidRDefault="00B23A1F" w:rsidP="005E1DF2">
            <w:pPr>
              <w:pStyle w:val="ListParagraph"/>
              <w:autoSpaceDE w:val="0"/>
              <w:autoSpaceDN w:val="0"/>
              <w:adjustRightInd w:val="0"/>
              <w:spacing w:before="120" w:after="120"/>
              <w:ind w:left="2400"/>
              <w:rPr>
                <w:rFonts w:eastAsia="Arial Unicode MS" w:cstheme="minorHAnsi"/>
                <w:sz w:val="24"/>
                <w:szCs w:val="24"/>
              </w:rPr>
            </w:pPr>
            <w:r w:rsidRPr="00720707">
              <w:rPr>
                <w:rFonts w:eastAsia="Arial Unicode MS" w:cstheme="minorHAnsi"/>
                <w:sz w:val="24"/>
                <w:szCs w:val="24"/>
              </w:rPr>
              <w:t xml:space="preserve">       </w:t>
            </w:r>
          </w:p>
          <w:p w14:paraId="196D71D8" w14:textId="77777777" w:rsidR="007B5147" w:rsidRPr="00720707" w:rsidRDefault="007B5147"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Two learning events were </w:t>
            </w:r>
            <w:proofErr w:type="gramStart"/>
            <w:r w:rsidRPr="00720707">
              <w:rPr>
                <w:rFonts w:eastAsia="Arial Unicode MS" w:cstheme="minorHAnsi"/>
                <w:sz w:val="24"/>
                <w:szCs w:val="24"/>
              </w:rPr>
              <w:t>held;</w:t>
            </w:r>
            <w:proofErr w:type="gramEnd"/>
            <w:r w:rsidRPr="00720707">
              <w:rPr>
                <w:rFonts w:eastAsia="Arial Unicode MS" w:cstheme="minorHAnsi"/>
                <w:sz w:val="24"/>
                <w:szCs w:val="24"/>
              </w:rPr>
              <w:t xml:space="preserve"> one for practitioners and one for managers and senior professionals. The reason for this was to maximise the opportunity for open discussion and reduce the risk of </w:t>
            </w:r>
            <w:r w:rsidR="007C1B2B" w:rsidRPr="00720707">
              <w:rPr>
                <w:rFonts w:eastAsia="Arial Unicode MS" w:cstheme="minorHAnsi"/>
                <w:sz w:val="24"/>
                <w:szCs w:val="24"/>
              </w:rPr>
              <w:t xml:space="preserve">front-line </w:t>
            </w:r>
            <w:r w:rsidRPr="00720707">
              <w:rPr>
                <w:rFonts w:eastAsia="Arial Unicode MS" w:cstheme="minorHAnsi"/>
                <w:sz w:val="24"/>
                <w:szCs w:val="24"/>
              </w:rPr>
              <w:t>staff feeling inhibited by the presence of management.</w:t>
            </w:r>
          </w:p>
          <w:p w14:paraId="16B53666" w14:textId="77777777" w:rsidR="00B23A1F" w:rsidRPr="00720707" w:rsidRDefault="00B23A1F"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The panel met on </w:t>
            </w:r>
            <w:r w:rsidR="00FB76AE" w:rsidRPr="00720707">
              <w:rPr>
                <w:rFonts w:eastAsia="Arial Unicode MS" w:cstheme="minorHAnsi"/>
                <w:sz w:val="24"/>
                <w:szCs w:val="24"/>
              </w:rPr>
              <w:t>seven</w:t>
            </w:r>
            <w:r w:rsidRPr="00720707">
              <w:rPr>
                <w:rFonts w:eastAsia="Arial Unicode MS" w:cstheme="minorHAnsi"/>
                <w:sz w:val="24"/>
                <w:szCs w:val="24"/>
              </w:rPr>
              <w:t xml:space="preserve"> occasions prior to the learning event</w:t>
            </w:r>
            <w:r w:rsidR="00D46C1E" w:rsidRPr="00720707">
              <w:rPr>
                <w:rFonts w:eastAsia="Arial Unicode MS" w:cstheme="minorHAnsi"/>
                <w:sz w:val="24"/>
                <w:szCs w:val="24"/>
              </w:rPr>
              <w:t>s</w:t>
            </w:r>
            <w:r w:rsidRPr="00720707">
              <w:rPr>
                <w:rFonts w:eastAsia="Arial Unicode MS" w:cstheme="minorHAnsi"/>
                <w:sz w:val="24"/>
                <w:szCs w:val="24"/>
              </w:rPr>
              <w:t xml:space="preserve">.  As part of the preparatory work, the reviewers met with the </w:t>
            </w:r>
            <w:r w:rsidR="007B5147" w:rsidRPr="00720707">
              <w:rPr>
                <w:rFonts w:eastAsia="Arial Unicode MS" w:cstheme="minorHAnsi"/>
                <w:sz w:val="24"/>
                <w:szCs w:val="24"/>
              </w:rPr>
              <w:t xml:space="preserve">father of the </w:t>
            </w:r>
            <w:r w:rsidRPr="00720707">
              <w:rPr>
                <w:rFonts w:eastAsia="Arial Unicode MS" w:cstheme="minorHAnsi"/>
                <w:sz w:val="24"/>
                <w:szCs w:val="24"/>
              </w:rPr>
              <w:t xml:space="preserve">subject of the review to ensure that his </w:t>
            </w:r>
            <w:r w:rsidR="007B5147" w:rsidRPr="00720707">
              <w:rPr>
                <w:rFonts w:eastAsia="Arial Unicode MS" w:cstheme="minorHAnsi"/>
                <w:sz w:val="24"/>
                <w:szCs w:val="24"/>
              </w:rPr>
              <w:t>views</w:t>
            </w:r>
            <w:r w:rsidRPr="00720707">
              <w:rPr>
                <w:rFonts w:eastAsia="Arial Unicode MS" w:cstheme="minorHAnsi"/>
                <w:sz w:val="24"/>
                <w:szCs w:val="24"/>
              </w:rPr>
              <w:t xml:space="preserve"> were represented at the learning event and within the report.</w:t>
            </w:r>
            <w:r w:rsidR="007B5147" w:rsidRPr="00720707">
              <w:rPr>
                <w:rFonts w:eastAsia="Arial Unicode MS" w:cstheme="minorHAnsi"/>
                <w:sz w:val="24"/>
                <w:szCs w:val="24"/>
              </w:rPr>
              <w:t xml:space="preserve"> It was decided not to meet the subject of the review due to the severity of his mental ill health.</w:t>
            </w:r>
          </w:p>
          <w:p w14:paraId="40F4B31B" w14:textId="77777777" w:rsidR="00B23A1F" w:rsidRPr="00720707" w:rsidRDefault="00B23A1F" w:rsidP="005E1DF2">
            <w:pPr>
              <w:pStyle w:val="ListParagraph"/>
              <w:numPr>
                <w:ilvl w:val="0"/>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All attendees were sent the chronology prior to the learning event </w:t>
            </w:r>
            <w:proofErr w:type="gramStart"/>
            <w:r w:rsidRPr="00720707">
              <w:rPr>
                <w:rFonts w:eastAsia="Arial Unicode MS" w:cstheme="minorHAnsi"/>
                <w:sz w:val="24"/>
                <w:szCs w:val="24"/>
              </w:rPr>
              <w:t>in order to</w:t>
            </w:r>
            <w:proofErr w:type="gramEnd"/>
            <w:r w:rsidRPr="00720707">
              <w:rPr>
                <w:rFonts w:eastAsia="Arial Unicode MS" w:cstheme="minorHAnsi"/>
                <w:sz w:val="24"/>
                <w:szCs w:val="24"/>
              </w:rPr>
              <w:t xml:space="preserve"> allow them time to consider the following:</w:t>
            </w:r>
          </w:p>
          <w:p w14:paraId="0687FAAA" w14:textId="77777777" w:rsidR="00B23A1F" w:rsidRPr="00720707" w:rsidRDefault="00B23A1F"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What </w:t>
            </w:r>
            <w:r w:rsidR="007B5147" w:rsidRPr="00720707">
              <w:rPr>
                <w:rFonts w:eastAsia="Arial Unicode MS" w:cstheme="minorHAnsi"/>
                <w:sz w:val="24"/>
                <w:szCs w:val="24"/>
              </w:rPr>
              <w:t>went well</w:t>
            </w:r>
            <w:r w:rsidRPr="00720707">
              <w:rPr>
                <w:rFonts w:eastAsia="Arial Unicode MS" w:cstheme="minorHAnsi"/>
                <w:sz w:val="24"/>
                <w:szCs w:val="24"/>
              </w:rPr>
              <w:t>?</w:t>
            </w:r>
          </w:p>
          <w:p w14:paraId="29A7F5CB" w14:textId="77777777" w:rsidR="00B23A1F" w:rsidRPr="00720707" w:rsidRDefault="00B23A1F"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What </w:t>
            </w:r>
            <w:r w:rsidR="007B5147" w:rsidRPr="00720707">
              <w:rPr>
                <w:rFonts w:eastAsia="Arial Unicode MS" w:cstheme="minorHAnsi"/>
                <w:sz w:val="24"/>
                <w:szCs w:val="24"/>
              </w:rPr>
              <w:t>could have been done differently</w:t>
            </w:r>
            <w:r w:rsidRPr="00720707">
              <w:rPr>
                <w:rFonts w:eastAsia="Arial Unicode MS" w:cstheme="minorHAnsi"/>
                <w:sz w:val="24"/>
                <w:szCs w:val="24"/>
              </w:rPr>
              <w:t>?</w:t>
            </w:r>
          </w:p>
          <w:p w14:paraId="2B8D42C4" w14:textId="77777777" w:rsidR="00B23A1F" w:rsidRPr="00720707" w:rsidRDefault="00B23A1F"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What </w:t>
            </w:r>
            <w:r w:rsidR="007B5147" w:rsidRPr="00720707">
              <w:rPr>
                <w:rFonts w:eastAsia="Arial Unicode MS" w:cstheme="minorHAnsi"/>
                <w:sz w:val="24"/>
                <w:szCs w:val="24"/>
              </w:rPr>
              <w:t>learning is there from this case</w:t>
            </w:r>
            <w:r w:rsidRPr="00720707">
              <w:rPr>
                <w:rFonts w:eastAsia="Arial Unicode MS" w:cstheme="minorHAnsi"/>
                <w:sz w:val="24"/>
                <w:szCs w:val="24"/>
              </w:rPr>
              <w:t>?</w:t>
            </w:r>
          </w:p>
          <w:p w14:paraId="654720C2" w14:textId="77777777" w:rsidR="007B5147" w:rsidRPr="00720707" w:rsidRDefault="007B5147"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Were there any missed opportunities?</w:t>
            </w:r>
          </w:p>
          <w:p w14:paraId="74C09E38" w14:textId="77777777" w:rsidR="007B5147" w:rsidRPr="00720707" w:rsidRDefault="007B5147"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What is different now?</w:t>
            </w:r>
          </w:p>
          <w:p w14:paraId="1C82D231" w14:textId="77777777" w:rsidR="007B5147" w:rsidRPr="00720707" w:rsidRDefault="007B5147" w:rsidP="005E1DF2">
            <w:pPr>
              <w:pStyle w:val="ListParagraph"/>
              <w:numPr>
                <w:ilvl w:val="1"/>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Does anything need to change?</w:t>
            </w:r>
          </w:p>
          <w:p w14:paraId="61C6616A" w14:textId="0897013C" w:rsidR="007B5147" w:rsidRPr="00720707" w:rsidRDefault="007B5147" w:rsidP="002C6A6A">
            <w:pPr>
              <w:pStyle w:val="ListParagraph"/>
              <w:numPr>
                <w:ilvl w:val="0"/>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The Chair reminded the attendees of the event from the outset that the point of the review was not to apportion blame to organisations but rather to learn on how to improve our services, minimise risk to individuals in future and that the review should be seen as an opportunity to learn from previous experiences.</w:t>
            </w:r>
          </w:p>
          <w:p w14:paraId="12940184" w14:textId="77777777" w:rsidR="007B5147" w:rsidRPr="00720707" w:rsidRDefault="007B5147" w:rsidP="002C6A6A">
            <w:pPr>
              <w:pStyle w:val="ListParagraph"/>
              <w:numPr>
                <w:ilvl w:val="0"/>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The learning event provided </w:t>
            </w:r>
            <w:r w:rsidR="007C1B2B" w:rsidRPr="00720707">
              <w:rPr>
                <w:rFonts w:eastAsia="Arial Unicode MS" w:cstheme="minorHAnsi"/>
                <w:sz w:val="24"/>
                <w:szCs w:val="24"/>
              </w:rPr>
              <w:t xml:space="preserve">practitioners and </w:t>
            </w:r>
            <w:r w:rsidRPr="00720707">
              <w:rPr>
                <w:rFonts w:eastAsia="Arial Unicode MS" w:cstheme="minorHAnsi"/>
                <w:sz w:val="24"/>
                <w:szCs w:val="24"/>
              </w:rPr>
              <w:t>managers with the opportunity to reflect and to identify key learning point</w:t>
            </w:r>
            <w:r w:rsidR="007C1B2B" w:rsidRPr="00720707">
              <w:rPr>
                <w:rFonts w:eastAsia="Arial Unicode MS" w:cstheme="minorHAnsi"/>
                <w:sz w:val="24"/>
                <w:szCs w:val="24"/>
              </w:rPr>
              <w:t>s</w:t>
            </w:r>
            <w:r w:rsidRPr="00720707">
              <w:rPr>
                <w:rFonts w:eastAsia="Arial Unicode MS" w:cstheme="minorHAnsi"/>
                <w:sz w:val="24"/>
                <w:szCs w:val="24"/>
              </w:rPr>
              <w:t>.</w:t>
            </w:r>
          </w:p>
          <w:p w14:paraId="530AEEE8" w14:textId="77777777" w:rsidR="007B5147" w:rsidRPr="00720707" w:rsidRDefault="007C1B2B" w:rsidP="002C6A6A">
            <w:pPr>
              <w:pStyle w:val="ListParagraph"/>
              <w:numPr>
                <w:ilvl w:val="0"/>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Feedback from all participants at</w:t>
            </w:r>
            <w:r w:rsidR="007B5147" w:rsidRPr="00720707">
              <w:rPr>
                <w:rFonts w:eastAsia="Arial Unicode MS" w:cstheme="minorHAnsi"/>
                <w:sz w:val="24"/>
                <w:szCs w:val="24"/>
              </w:rPr>
              <w:t xml:space="preserve"> the event was positive.  </w:t>
            </w:r>
            <w:r w:rsidRPr="00720707">
              <w:rPr>
                <w:rFonts w:eastAsia="Arial Unicode MS" w:cstheme="minorHAnsi"/>
                <w:sz w:val="24"/>
                <w:szCs w:val="24"/>
              </w:rPr>
              <w:t>P</w:t>
            </w:r>
            <w:r w:rsidR="007B5147" w:rsidRPr="00720707">
              <w:rPr>
                <w:rFonts w:eastAsia="Arial Unicode MS" w:cstheme="minorHAnsi"/>
                <w:sz w:val="24"/>
                <w:szCs w:val="24"/>
              </w:rPr>
              <w:t>articipants were reflective and were prepared for the learning event.</w:t>
            </w:r>
          </w:p>
          <w:p w14:paraId="65B7C870" w14:textId="69F62298" w:rsidR="007B5147" w:rsidRPr="00DF2AA7" w:rsidRDefault="007B5147" w:rsidP="005E1DF2">
            <w:pPr>
              <w:pStyle w:val="ListParagraph"/>
              <w:numPr>
                <w:ilvl w:val="0"/>
                <w:numId w:val="5"/>
              </w:numPr>
              <w:autoSpaceDE w:val="0"/>
              <w:autoSpaceDN w:val="0"/>
              <w:adjustRightInd w:val="0"/>
              <w:spacing w:before="120" w:after="120"/>
              <w:rPr>
                <w:rFonts w:eastAsia="Arial Unicode MS" w:cstheme="minorHAnsi"/>
                <w:sz w:val="24"/>
                <w:szCs w:val="24"/>
              </w:rPr>
            </w:pPr>
            <w:r w:rsidRPr="00720707">
              <w:rPr>
                <w:rFonts w:eastAsia="Arial Unicode MS" w:cstheme="minorHAnsi"/>
                <w:sz w:val="24"/>
                <w:szCs w:val="24"/>
              </w:rPr>
              <w:t xml:space="preserve">Wellbeing support was offered to all attendees of the learning event by the </w:t>
            </w:r>
            <w:r w:rsidR="007C1B2B" w:rsidRPr="00720707">
              <w:rPr>
                <w:rFonts w:eastAsia="Arial Unicode MS" w:cstheme="minorHAnsi"/>
                <w:sz w:val="24"/>
                <w:szCs w:val="24"/>
              </w:rPr>
              <w:t>c</w:t>
            </w:r>
            <w:r w:rsidRPr="00720707">
              <w:rPr>
                <w:rFonts w:eastAsia="Arial Unicode MS" w:cstheme="minorHAnsi"/>
                <w:sz w:val="24"/>
                <w:szCs w:val="24"/>
              </w:rPr>
              <w:t>hair and the panel members.</w:t>
            </w:r>
          </w:p>
          <w:p w14:paraId="11919220" w14:textId="77777777" w:rsidR="00DF2AA7" w:rsidRPr="00720707" w:rsidRDefault="00DF2AA7" w:rsidP="005E1DF2">
            <w:pPr>
              <w:autoSpaceDE w:val="0"/>
              <w:autoSpaceDN w:val="0"/>
              <w:adjustRightInd w:val="0"/>
              <w:spacing w:before="120" w:after="120" w:line="240" w:lineRule="auto"/>
              <w:rPr>
                <w:rFonts w:eastAsia="Arial Unicode MS" w:cstheme="minorHAnsi"/>
                <w:sz w:val="24"/>
                <w:szCs w:val="24"/>
              </w:rPr>
            </w:pPr>
          </w:p>
          <w:p w14:paraId="56916294" w14:textId="77777777" w:rsidR="007B5147" w:rsidRPr="00720707" w:rsidRDefault="007B5147" w:rsidP="005E1DF2">
            <w:pPr>
              <w:spacing w:before="120" w:after="120" w:line="240" w:lineRule="auto"/>
              <w:rPr>
                <w:rFonts w:eastAsia="Arial Unicode MS" w:cstheme="minorHAnsi"/>
                <w:sz w:val="24"/>
                <w:szCs w:val="24"/>
              </w:rPr>
            </w:pPr>
            <w:r w:rsidRPr="00720707">
              <w:rPr>
                <w:rFonts w:eastAsia="Arial Unicode MS" w:cstheme="minorHAnsi"/>
                <w:b/>
                <w:sz w:val="24"/>
                <w:szCs w:val="24"/>
              </w:rPr>
              <w:t>Circumstances resulting in the need for review</w:t>
            </w:r>
            <w:r w:rsidRPr="00720707">
              <w:rPr>
                <w:rFonts w:eastAsia="Arial Unicode MS" w:cstheme="minorHAnsi"/>
                <w:sz w:val="24"/>
                <w:szCs w:val="24"/>
              </w:rPr>
              <w:t>:</w:t>
            </w:r>
          </w:p>
          <w:p w14:paraId="227FA534" w14:textId="24170728" w:rsidR="007B5147" w:rsidRDefault="007B5147"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The referral for the Adult Pract</w:t>
            </w:r>
            <w:r w:rsidR="00CC4E0E" w:rsidRPr="00720707">
              <w:rPr>
                <w:rFonts w:eastAsia="Arial Unicode MS" w:cstheme="minorHAnsi"/>
                <w:sz w:val="24"/>
                <w:szCs w:val="24"/>
              </w:rPr>
              <w:t>ice Review was made following a</w:t>
            </w:r>
            <w:r w:rsidRPr="00720707">
              <w:rPr>
                <w:rFonts w:eastAsia="Arial Unicode MS" w:cstheme="minorHAnsi"/>
                <w:sz w:val="24"/>
                <w:szCs w:val="24"/>
              </w:rPr>
              <w:t xml:space="preserve"> request by </w:t>
            </w:r>
            <w:r w:rsidR="007C1B2B" w:rsidRPr="00720707">
              <w:rPr>
                <w:rFonts w:eastAsia="Arial Unicode MS" w:cstheme="minorHAnsi"/>
                <w:sz w:val="24"/>
                <w:szCs w:val="24"/>
              </w:rPr>
              <w:t xml:space="preserve">the </w:t>
            </w:r>
            <w:r w:rsidRPr="00720707">
              <w:rPr>
                <w:rFonts w:eastAsia="Arial Unicode MS" w:cstheme="minorHAnsi"/>
                <w:sz w:val="24"/>
                <w:szCs w:val="24"/>
              </w:rPr>
              <w:t>Probation Service.</w:t>
            </w:r>
          </w:p>
          <w:p w14:paraId="7ECBD982" w14:textId="083AAC7E" w:rsidR="00DF2AA7" w:rsidRPr="00DF2AA7" w:rsidRDefault="00DF2AA7" w:rsidP="00DF2AA7">
            <w:pPr>
              <w:spacing w:before="120" w:after="120"/>
              <w:rPr>
                <w:rFonts w:ascii="Calibri" w:hAnsi="Calibri" w:cs="Calibri"/>
                <w:color w:val="000000"/>
                <w:sz w:val="24"/>
                <w:szCs w:val="24"/>
              </w:rPr>
            </w:pPr>
            <w:r w:rsidRPr="00266A7D">
              <w:rPr>
                <w:rFonts w:ascii="Calibri" w:hAnsi="Calibri" w:cs="Calibri"/>
                <w:color w:val="000000"/>
                <w:sz w:val="24"/>
                <w:szCs w:val="24"/>
              </w:rPr>
              <w:t>This report has been anonymised to protect the confidentiality of the subject of the report and their family. The subject of the review has been given the pseudonym ‘David’ to ensure the report is personalised as much as possible.</w:t>
            </w:r>
          </w:p>
          <w:p w14:paraId="15F182C7" w14:textId="0D844E0C" w:rsidR="00924FE4" w:rsidRPr="00720707" w:rsidRDefault="00DF2AA7" w:rsidP="005E1DF2">
            <w:pPr>
              <w:autoSpaceDE w:val="0"/>
              <w:autoSpaceDN w:val="0"/>
              <w:adjustRightInd w:val="0"/>
              <w:spacing w:before="120" w:after="120" w:line="240" w:lineRule="auto"/>
              <w:rPr>
                <w:rFonts w:eastAsia="Arial Unicode MS" w:cstheme="minorHAnsi"/>
                <w:sz w:val="24"/>
                <w:szCs w:val="24"/>
              </w:rPr>
            </w:pPr>
            <w:r>
              <w:rPr>
                <w:rFonts w:cstheme="minorHAnsi"/>
                <w:sz w:val="24"/>
                <w:szCs w:val="24"/>
              </w:rPr>
              <w:lastRenderedPageBreak/>
              <w:t>David</w:t>
            </w:r>
            <w:r w:rsidRPr="00720707">
              <w:rPr>
                <w:rFonts w:cstheme="minorHAnsi"/>
                <w:sz w:val="24"/>
                <w:szCs w:val="24"/>
              </w:rPr>
              <w:t xml:space="preserve"> </w:t>
            </w:r>
            <w:r w:rsidR="00E27EF4" w:rsidRPr="00720707">
              <w:rPr>
                <w:rFonts w:eastAsia="Arial Unicode MS" w:cstheme="minorHAnsi"/>
                <w:sz w:val="24"/>
                <w:szCs w:val="24"/>
              </w:rPr>
              <w:t xml:space="preserve">has been detained either in psychiatric care or in prison since February 2020. </w:t>
            </w:r>
            <w:r w:rsidR="00EC279A" w:rsidRPr="00720707">
              <w:rPr>
                <w:rFonts w:eastAsia="Arial Unicode MS" w:cstheme="minorHAnsi"/>
                <w:sz w:val="24"/>
                <w:szCs w:val="24"/>
              </w:rPr>
              <w:t xml:space="preserve">He </w:t>
            </w:r>
            <w:r w:rsidR="00C95EC6" w:rsidRPr="00720707">
              <w:rPr>
                <w:rFonts w:eastAsia="Arial Unicode MS" w:cstheme="minorHAnsi"/>
                <w:sz w:val="24"/>
                <w:szCs w:val="24"/>
              </w:rPr>
              <w:t xml:space="preserve">had two admissions on civil sections of the MHA in February 2010 but was discharged rapidly both times. He was transferred on a forensic section from prison in late 2020. Each time he was not found to have a ‘severe mental </w:t>
            </w:r>
            <w:proofErr w:type="gramStart"/>
            <w:r w:rsidR="00C95EC6" w:rsidRPr="00720707">
              <w:rPr>
                <w:rFonts w:eastAsia="Arial Unicode MS" w:cstheme="minorHAnsi"/>
                <w:sz w:val="24"/>
                <w:szCs w:val="24"/>
              </w:rPr>
              <w:t>illness’</w:t>
            </w:r>
            <w:proofErr w:type="gramEnd"/>
            <w:r w:rsidR="00C95EC6" w:rsidRPr="00720707">
              <w:rPr>
                <w:rFonts w:eastAsia="Arial Unicode MS" w:cstheme="minorHAnsi"/>
                <w:sz w:val="24"/>
                <w:szCs w:val="24"/>
              </w:rPr>
              <w:t xml:space="preserve"> and assessments varied between ‘malingering’ (feigning symptoms) and probably cognitive impairment.</w:t>
            </w:r>
          </w:p>
          <w:p w14:paraId="6D32B953" w14:textId="37ECB179" w:rsidR="00C95EC6" w:rsidRPr="00720707" w:rsidRDefault="00C95EC6"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The lack of clarity regarding his mental disorder resulted in </w:t>
            </w:r>
            <w:r w:rsidR="00DF2AA7">
              <w:rPr>
                <w:rFonts w:cstheme="minorHAnsi"/>
                <w:sz w:val="24"/>
                <w:szCs w:val="24"/>
              </w:rPr>
              <w:t>David</w:t>
            </w:r>
            <w:r w:rsidR="00DF2AA7" w:rsidRPr="00720707">
              <w:rPr>
                <w:rFonts w:cstheme="minorHAnsi"/>
                <w:sz w:val="24"/>
                <w:szCs w:val="24"/>
              </w:rPr>
              <w:t xml:space="preserve"> </w:t>
            </w:r>
            <w:r w:rsidRPr="00720707">
              <w:rPr>
                <w:rFonts w:eastAsia="Arial Unicode MS" w:cstheme="minorHAnsi"/>
                <w:sz w:val="24"/>
                <w:szCs w:val="24"/>
              </w:rPr>
              <w:t xml:space="preserve">remaining in prison for a considerable </w:t>
            </w:r>
            <w:proofErr w:type="gramStart"/>
            <w:r w:rsidRPr="00720707">
              <w:rPr>
                <w:rFonts w:eastAsia="Arial Unicode MS" w:cstheme="minorHAnsi"/>
                <w:sz w:val="24"/>
                <w:szCs w:val="24"/>
              </w:rPr>
              <w:t>period of time</w:t>
            </w:r>
            <w:proofErr w:type="gramEnd"/>
            <w:r w:rsidRPr="00720707">
              <w:rPr>
                <w:rFonts w:eastAsia="Arial Unicode MS" w:cstheme="minorHAnsi"/>
                <w:sz w:val="24"/>
                <w:szCs w:val="24"/>
              </w:rPr>
              <w:t xml:space="preserve"> while awaiting a suitable placement to assess for neurological damage</w:t>
            </w:r>
            <w:r w:rsidR="00FD3B14" w:rsidRPr="00720707">
              <w:rPr>
                <w:rFonts w:eastAsia="Arial Unicode MS" w:cstheme="minorHAnsi"/>
                <w:sz w:val="24"/>
                <w:szCs w:val="24"/>
              </w:rPr>
              <w:t xml:space="preserve">. </w:t>
            </w:r>
          </w:p>
          <w:p w14:paraId="4DFC855C" w14:textId="7A87366B" w:rsidR="00FD3B14" w:rsidRPr="00720707" w:rsidRDefault="00FD3B14"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During this time, </w:t>
            </w:r>
            <w:r w:rsidR="00DF2AA7">
              <w:rPr>
                <w:rFonts w:cstheme="minorHAnsi"/>
                <w:sz w:val="24"/>
                <w:szCs w:val="24"/>
              </w:rPr>
              <w:t>David</w:t>
            </w:r>
            <w:r w:rsidRPr="00720707">
              <w:rPr>
                <w:rFonts w:eastAsia="Arial Unicode MS" w:cstheme="minorHAnsi"/>
                <w:sz w:val="24"/>
                <w:szCs w:val="24"/>
              </w:rPr>
              <w:t xml:space="preserve"> exhibited extreme levels of self- and environmental neglect, together with unpredictable and unprovoked aggressive and sexually inappropriate behaviour.</w:t>
            </w:r>
            <w:r w:rsidR="00D05329" w:rsidRPr="00720707">
              <w:rPr>
                <w:rFonts w:eastAsia="Arial Unicode MS" w:cstheme="minorHAnsi"/>
                <w:sz w:val="24"/>
                <w:szCs w:val="24"/>
              </w:rPr>
              <w:t xml:space="preserve"> This made provision of care and support to </w:t>
            </w:r>
            <w:r w:rsidR="00DF2AA7">
              <w:rPr>
                <w:rFonts w:cstheme="minorHAnsi"/>
                <w:sz w:val="24"/>
                <w:szCs w:val="24"/>
              </w:rPr>
              <w:t>David</w:t>
            </w:r>
            <w:r w:rsidR="00D05329" w:rsidRPr="00720707">
              <w:rPr>
                <w:rFonts w:eastAsia="Arial Unicode MS" w:cstheme="minorHAnsi"/>
                <w:sz w:val="24"/>
                <w:szCs w:val="24"/>
              </w:rPr>
              <w:t xml:space="preserve"> </w:t>
            </w:r>
            <w:r w:rsidR="007C1B2B" w:rsidRPr="00720707">
              <w:rPr>
                <w:rFonts w:eastAsia="Arial Unicode MS" w:cstheme="minorHAnsi"/>
                <w:sz w:val="24"/>
                <w:szCs w:val="24"/>
              </w:rPr>
              <w:t>extremely difficult</w:t>
            </w:r>
            <w:r w:rsidR="00D05329" w:rsidRPr="00720707">
              <w:rPr>
                <w:rFonts w:eastAsia="Arial Unicode MS" w:cstheme="minorHAnsi"/>
                <w:sz w:val="24"/>
                <w:szCs w:val="24"/>
              </w:rPr>
              <w:t xml:space="preserve"> by the prison staff, increasing the risk to both </w:t>
            </w:r>
            <w:r w:rsidR="00DF2AA7">
              <w:rPr>
                <w:rFonts w:cstheme="minorHAnsi"/>
                <w:sz w:val="24"/>
                <w:szCs w:val="24"/>
              </w:rPr>
              <w:t>David</w:t>
            </w:r>
            <w:r w:rsidR="00D05329" w:rsidRPr="00720707">
              <w:rPr>
                <w:rFonts w:eastAsia="Arial Unicode MS" w:cstheme="minorHAnsi"/>
                <w:sz w:val="24"/>
                <w:szCs w:val="24"/>
              </w:rPr>
              <w:t xml:space="preserve"> and the staff.</w:t>
            </w:r>
          </w:p>
          <w:p w14:paraId="6B94FCF3" w14:textId="161308FA" w:rsidR="00D05329" w:rsidRPr="00720707" w:rsidRDefault="00D05329"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As a result of this, </w:t>
            </w:r>
            <w:r w:rsidR="00DF2AA7">
              <w:rPr>
                <w:rFonts w:cstheme="minorHAnsi"/>
                <w:sz w:val="24"/>
                <w:szCs w:val="24"/>
              </w:rPr>
              <w:t>David</w:t>
            </w:r>
            <w:r w:rsidRPr="00720707">
              <w:rPr>
                <w:rFonts w:eastAsia="Arial Unicode MS" w:cstheme="minorHAnsi"/>
                <w:sz w:val="24"/>
                <w:szCs w:val="24"/>
              </w:rPr>
              <w:t xml:space="preserve"> was in a highly restricted and secluded environment continuously for over one year, during which time he was living in conditions of severe neglect.</w:t>
            </w:r>
          </w:p>
          <w:p w14:paraId="4DB8F102" w14:textId="77777777" w:rsidR="00E27EF4" w:rsidRPr="00720707" w:rsidRDefault="00E27EF4" w:rsidP="005E1DF2">
            <w:pPr>
              <w:autoSpaceDE w:val="0"/>
              <w:autoSpaceDN w:val="0"/>
              <w:adjustRightInd w:val="0"/>
              <w:spacing w:before="120" w:after="120" w:line="240" w:lineRule="auto"/>
              <w:rPr>
                <w:rFonts w:eastAsia="Arial Unicode MS" w:cstheme="minorHAnsi"/>
                <w:sz w:val="24"/>
                <w:szCs w:val="24"/>
              </w:rPr>
            </w:pPr>
          </w:p>
          <w:p w14:paraId="4B02C7F2" w14:textId="77777777" w:rsidR="00924FE4" w:rsidRPr="00720707" w:rsidRDefault="00924FE4" w:rsidP="005E1DF2">
            <w:pPr>
              <w:widowControl w:val="0"/>
              <w:overflowPunct w:val="0"/>
              <w:autoSpaceDE w:val="0"/>
              <w:autoSpaceDN w:val="0"/>
              <w:adjustRightInd w:val="0"/>
              <w:spacing w:before="120" w:after="120" w:line="240" w:lineRule="auto"/>
              <w:jc w:val="both"/>
              <w:textAlignment w:val="baseline"/>
              <w:rPr>
                <w:rFonts w:eastAsia="Times New Roman" w:cstheme="minorHAnsi"/>
                <w:sz w:val="24"/>
                <w:szCs w:val="24"/>
              </w:rPr>
            </w:pPr>
            <w:r w:rsidRPr="00720707">
              <w:rPr>
                <w:rFonts w:eastAsia="Times New Roman" w:cstheme="minorHAnsi"/>
                <w:b/>
                <w:sz w:val="24"/>
                <w:szCs w:val="24"/>
              </w:rPr>
              <w:t>Background to the Adult Practice Review</w:t>
            </w:r>
            <w:r w:rsidRPr="00720707">
              <w:rPr>
                <w:rFonts w:eastAsia="Times New Roman" w:cstheme="minorHAnsi"/>
                <w:sz w:val="24"/>
                <w:szCs w:val="24"/>
              </w:rPr>
              <w:t>:</w:t>
            </w:r>
          </w:p>
          <w:p w14:paraId="44BD702C" w14:textId="66AEE9AA" w:rsidR="00924FE4" w:rsidRPr="00720707" w:rsidRDefault="00FD3B14" w:rsidP="005E1DF2">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It was agreed to conduct the review over this three-year </w:t>
            </w:r>
            <w:proofErr w:type="gramStart"/>
            <w:r w:rsidRPr="00720707">
              <w:rPr>
                <w:rFonts w:eastAsia="Arial Unicode MS" w:cstheme="minorHAnsi"/>
                <w:sz w:val="24"/>
                <w:szCs w:val="24"/>
              </w:rPr>
              <w:t>time period</w:t>
            </w:r>
            <w:proofErr w:type="gramEnd"/>
            <w:r w:rsidRPr="00720707">
              <w:rPr>
                <w:rFonts w:eastAsia="Arial Unicode MS" w:cstheme="minorHAnsi"/>
                <w:sz w:val="24"/>
                <w:szCs w:val="24"/>
              </w:rPr>
              <w:t xml:space="preserve"> to explore the decision-making and assessment processes which caused </w:t>
            </w:r>
            <w:r w:rsidR="00DF2AA7">
              <w:rPr>
                <w:rFonts w:cstheme="minorHAnsi"/>
                <w:sz w:val="24"/>
                <w:szCs w:val="24"/>
              </w:rPr>
              <w:t>David</w:t>
            </w:r>
            <w:r w:rsidRPr="00720707">
              <w:rPr>
                <w:rFonts w:eastAsia="Arial Unicode MS" w:cstheme="minorHAnsi"/>
                <w:sz w:val="24"/>
                <w:szCs w:val="24"/>
              </w:rPr>
              <w:t xml:space="preserve"> to remain in the prison environment for a considerable length of time, how decisions were made </w:t>
            </w:r>
            <w:r w:rsidR="00072B30" w:rsidRPr="00720707">
              <w:rPr>
                <w:rFonts w:eastAsia="Arial Unicode MS" w:cstheme="minorHAnsi"/>
                <w:sz w:val="24"/>
                <w:szCs w:val="24"/>
              </w:rPr>
              <w:t xml:space="preserve">and what delays occurred in </w:t>
            </w:r>
            <w:r w:rsidR="00D05329" w:rsidRPr="00720707">
              <w:rPr>
                <w:rFonts w:eastAsia="Arial Unicode MS" w:cstheme="minorHAnsi"/>
                <w:sz w:val="24"/>
                <w:szCs w:val="24"/>
              </w:rPr>
              <w:t xml:space="preserve">making plans to provide appropriate assessment, care and support to </w:t>
            </w:r>
            <w:r w:rsidR="00DF2AA7">
              <w:rPr>
                <w:rFonts w:cstheme="minorHAnsi"/>
                <w:sz w:val="24"/>
                <w:szCs w:val="24"/>
              </w:rPr>
              <w:t>David</w:t>
            </w:r>
            <w:r w:rsidR="00D05329" w:rsidRPr="00720707">
              <w:rPr>
                <w:rFonts w:eastAsia="Arial Unicode MS" w:cstheme="minorHAnsi"/>
                <w:sz w:val="24"/>
                <w:szCs w:val="24"/>
              </w:rPr>
              <w:t>.</w:t>
            </w:r>
          </w:p>
          <w:p w14:paraId="328518FC" w14:textId="77777777" w:rsidR="00FD3B14" w:rsidRPr="00720707" w:rsidRDefault="00FD3B14" w:rsidP="005E1DF2">
            <w:pPr>
              <w:autoSpaceDE w:val="0"/>
              <w:autoSpaceDN w:val="0"/>
              <w:adjustRightInd w:val="0"/>
              <w:spacing w:before="120" w:after="120" w:line="240" w:lineRule="auto"/>
              <w:rPr>
                <w:rFonts w:eastAsia="Arial Unicode MS" w:cstheme="minorHAnsi"/>
                <w:sz w:val="24"/>
                <w:szCs w:val="24"/>
              </w:rPr>
            </w:pPr>
          </w:p>
          <w:p w14:paraId="371C3C96" w14:textId="77777777" w:rsidR="00924FE4" w:rsidRPr="00720707" w:rsidRDefault="00924FE4" w:rsidP="005E1DF2">
            <w:pPr>
              <w:widowControl w:val="0"/>
              <w:overflowPunct w:val="0"/>
              <w:autoSpaceDE w:val="0"/>
              <w:autoSpaceDN w:val="0"/>
              <w:adjustRightInd w:val="0"/>
              <w:spacing w:before="120" w:after="120" w:line="240" w:lineRule="auto"/>
              <w:jc w:val="both"/>
              <w:textAlignment w:val="baseline"/>
              <w:rPr>
                <w:rFonts w:eastAsia="Times New Roman" w:cstheme="minorHAnsi"/>
                <w:sz w:val="24"/>
                <w:szCs w:val="24"/>
              </w:rPr>
            </w:pPr>
            <w:r w:rsidRPr="00720707">
              <w:rPr>
                <w:rFonts w:eastAsia="Times New Roman" w:cstheme="minorHAnsi"/>
                <w:b/>
                <w:sz w:val="24"/>
                <w:szCs w:val="24"/>
              </w:rPr>
              <w:t>Subject of the review</w:t>
            </w:r>
            <w:r w:rsidRPr="00720707">
              <w:rPr>
                <w:rFonts w:eastAsia="Times New Roman" w:cstheme="minorHAnsi"/>
                <w:sz w:val="24"/>
                <w:szCs w:val="24"/>
              </w:rPr>
              <w:t>:</w:t>
            </w:r>
          </w:p>
          <w:p w14:paraId="514D1371" w14:textId="5A5EA03F" w:rsidR="00924FE4" w:rsidRPr="00720707" w:rsidRDefault="00DF2AA7" w:rsidP="005E1DF2">
            <w:pPr>
              <w:autoSpaceDE w:val="0"/>
              <w:autoSpaceDN w:val="0"/>
              <w:adjustRightInd w:val="0"/>
              <w:spacing w:before="120" w:after="120" w:line="240" w:lineRule="auto"/>
              <w:rPr>
                <w:rFonts w:eastAsia="Arial Unicode MS" w:cstheme="minorHAnsi"/>
                <w:sz w:val="24"/>
                <w:szCs w:val="24"/>
              </w:rPr>
            </w:pPr>
            <w:r>
              <w:rPr>
                <w:rFonts w:cstheme="minorHAnsi"/>
                <w:sz w:val="24"/>
                <w:szCs w:val="24"/>
              </w:rPr>
              <w:t>David</w:t>
            </w:r>
            <w:r w:rsidR="00924FE4" w:rsidRPr="00720707">
              <w:rPr>
                <w:rFonts w:eastAsia="Arial Unicode MS" w:cstheme="minorHAnsi"/>
                <w:sz w:val="24"/>
                <w:szCs w:val="24"/>
              </w:rPr>
              <w:t xml:space="preserve"> is now 26 years old. His parents separated when he was four years old and he lived at times with each of them during his early life. There were concerns that his father was using drugs and </w:t>
            </w:r>
            <w:r>
              <w:rPr>
                <w:rFonts w:cstheme="minorHAnsi"/>
                <w:sz w:val="24"/>
                <w:szCs w:val="24"/>
              </w:rPr>
              <w:t>David</w:t>
            </w:r>
            <w:r w:rsidR="00924FE4" w:rsidRPr="00720707">
              <w:rPr>
                <w:rFonts w:eastAsia="Arial Unicode MS" w:cstheme="minorHAnsi"/>
                <w:sz w:val="24"/>
                <w:szCs w:val="24"/>
              </w:rPr>
              <w:t xml:space="preserve"> was placed on the child protection register at the age of 12 on grounds of neglect.</w:t>
            </w:r>
          </w:p>
          <w:p w14:paraId="14EFC4CC" w14:textId="73EDF01E" w:rsidR="00924FE4" w:rsidRPr="00720707" w:rsidRDefault="00DF2AA7" w:rsidP="005E1DF2">
            <w:pPr>
              <w:autoSpaceDE w:val="0"/>
              <w:autoSpaceDN w:val="0"/>
              <w:adjustRightInd w:val="0"/>
              <w:spacing w:before="120" w:after="120" w:line="240" w:lineRule="auto"/>
              <w:rPr>
                <w:rFonts w:eastAsia="Arial Unicode MS" w:cstheme="minorHAnsi"/>
                <w:sz w:val="24"/>
                <w:szCs w:val="24"/>
              </w:rPr>
            </w:pPr>
            <w:r>
              <w:rPr>
                <w:rFonts w:cstheme="minorHAnsi"/>
                <w:sz w:val="24"/>
                <w:szCs w:val="24"/>
              </w:rPr>
              <w:t>David</w:t>
            </w:r>
            <w:r w:rsidR="00924FE4" w:rsidRPr="00720707">
              <w:rPr>
                <w:rFonts w:eastAsia="Arial Unicode MS" w:cstheme="minorHAnsi"/>
                <w:sz w:val="24"/>
                <w:szCs w:val="24"/>
              </w:rPr>
              <w:t xml:space="preserve"> stayed with a family friend when his parents could no longer care for him, and this was formalised into a fostering arrangement when he was 13.</w:t>
            </w:r>
          </w:p>
          <w:p w14:paraId="4D5D8B6B" w14:textId="0A9E50D4" w:rsidR="00924FE4" w:rsidRPr="00720707" w:rsidRDefault="00924FE4" w:rsidP="00684D9B">
            <w:pPr>
              <w:autoSpaceDE w:val="0"/>
              <w:autoSpaceDN w:val="0"/>
              <w:adjustRightInd w:val="0"/>
              <w:spacing w:before="120" w:after="120" w:line="240" w:lineRule="auto"/>
              <w:rPr>
                <w:rFonts w:eastAsia="Arial Unicode MS" w:cstheme="minorHAnsi"/>
                <w:sz w:val="24"/>
                <w:szCs w:val="24"/>
              </w:rPr>
            </w:pPr>
            <w:r w:rsidRPr="00720707">
              <w:rPr>
                <w:rFonts w:eastAsia="Arial Unicode MS" w:cstheme="minorHAnsi"/>
                <w:sz w:val="24"/>
                <w:szCs w:val="24"/>
              </w:rPr>
              <w:t xml:space="preserve">At age 15/16, </w:t>
            </w:r>
            <w:r w:rsidR="00DF2AA7">
              <w:rPr>
                <w:rFonts w:cstheme="minorHAnsi"/>
                <w:sz w:val="24"/>
                <w:szCs w:val="24"/>
              </w:rPr>
              <w:t>David</w:t>
            </w:r>
            <w:r w:rsidRPr="00720707">
              <w:rPr>
                <w:rFonts w:eastAsia="Arial Unicode MS" w:cstheme="minorHAnsi"/>
                <w:sz w:val="24"/>
                <w:szCs w:val="24"/>
              </w:rPr>
              <w:t>’s behaviour deteriorated</w:t>
            </w:r>
            <w:r w:rsidR="005E1DF2" w:rsidRPr="00720707">
              <w:rPr>
                <w:rFonts w:eastAsia="Arial Unicode MS" w:cstheme="minorHAnsi"/>
                <w:sz w:val="24"/>
                <w:szCs w:val="24"/>
              </w:rPr>
              <w:t xml:space="preserve">, with truancy, drug use and evidence of </w:t>
            </w:r>
            <w:r w:rsidR="00DF2AA7">
              <w:rPr>
                <w:rFonts w:cstheme="minorHAnsi"/>
                <w:sz w:val="24"/>
                <w:szCs w:val="24"/>
              </w:rPr>
              <w:t>David</w:t>
            </w:r>
            <w:r w:rsidR="005E1DF2" w:rsidRPr="00720707">
              <w:rPr>
                <w:rFonts w:eastAsia="Arial Unicode MS" w:cstheme="minorHAnsi"/>
                <w:sz w:val="24"/>
                <w:szCs w:val="24"/>
              </w:rPr>
              <w:t xml:space="preserve"> accessing pornography. He presented as homeless following an argument with his father aged 16 and was placed in several homel</w:t>
            </w:r>
            <w:r w:rsidR="00072B30" w:rsidRPr="00720707">
              <w:rPr>
                <w:rFonts w:eastAsia="Arial Unicode MS" w:cstheme="minorHAnsi"/>
                <w:sz w:val="24"/>
                <w:szCs w:val="24"/>
              </w:rPr>
              <w:t>e</w:t>
            </w:r>
            <w:r w:rsidR="005E1DF2" w:rsidRPr="00720707">
              <w:rPr>
                <w:rFonts w:eastAsia="Arial Unicode MS" w:cstheme="minorHAnsi"/>
                <w:sz w:val="24"/>
                <w:szCs w:val="24"/>
              </w:rPr>
              <w:t xml:space="preserve">ss projects. Each broke down due to his drug use, aggressive outbursts and inappropriate behaviour. His drug use included cannabis, amphetamines and legal highs. In the absence of an adult to provide care and support, </w:t>
            </w:r>
            <w:r w:rsidR="00DF2AA7">
              <w:rPr>
                <w:rFonts w:cstheme="minorHAnsi"/>
                <w:sz w:val="24"/>
                <w:szCs w:val="24"/>
              </w:rPr>
              <w:t>David</w:t>
            </w:r>
            <w:r w:rsidR="005E1DF2" w:rsidRPr="00720707">
              <w:rPr>
                <w:rFonts w:eastAsia="Arial Unicode MS" w:cstheme="minorHAnsi"/>
                <w:sz w:val="24"/>
                <w:szCs w:val="24"/>
              </w:rPr>
              <w:t xml:space="preserve"> became a ‘looked after child’.</w:t>
            </w:r>
          </w:p>
          <w:p w14:paraId="18BA6263" w14:textId="7B883A89" w:rsidR="00DD590A" w:rsidRPr="00720707" w:rsidRDefault="00DF2AA7" w:rsidP="005E1DF2">
            <w:pPr>
              <w:widowControl w:val="0"/>
              <w:spacing w:before="120" w:after="120" w:line="240" w:lineRule="auto"/>
              <w:rPr>
                <w:rFonts w:eastAsia="Calibri" w:cstheme="minorHAnsi"/>
                <w:sz w:val="24"/>
                <w:szCs w:val="24"/>
                <w:lang w:val="en-US"/>
              </w:rPr>
            </w:pPr>
            <w:r>
              <w:rPr>
                <w:rFonts w:cstheme="minorHAnsi"/>
                <w:sz w:val="24"/>
                <w:szCs w:val="24"/>
              </w:rPr>
              <w:t>David</w:t>
            </w:r>
            <w:r w:rsidR="005E1DF2" w:rsidRPr="00720707">
              <w:rPr>
                <w:rFonts w:eastAsia="Calibri" w:cstheme="minorHAnsi"/>
                <w:sz w:val="24"/>
                <w:szCs w:val="24"/>
                <w:lang w:val="en-US"/>
              </w:rPr>
              <w:t xml:space="preserve"> was convicted of GBH and possession of an offensive weapon and sentenced to 20 months imprisonment, and in April 2017 he was transferred to Taith Newydd</w:t>
            </w:r>
            <w:r w:rsidR="00B204AF" w:rsidRPr="00720707">
              <w:rPr>
                <w:rFonts w:eastAsia="Calibri" w:cstheme="minorHAnsi"/>
                <w:sz w:val="24"/>
                <w:szCs w:val="24"/>
                <w:lang w:val="en-US"/>
              </w:rPr>
              <w:t xml:space="preserve"> low secure</w:t>
            </w:r>
            <w:r w:rsidR="005E1DF2" w:rsidRPr="00720707">
              <w:rPr>
                <w:rFonts w:eastAsia="Calibri" w:cstheme="minorHAnsi"/>
                <w:sz w:val="24"/>
                <w:szCs w:val="24"/>
                <w:lang w:val="en-US"/>
              </w:rPr>
              <w:t xml:space="preserve"> psychiatric hospital under Mental Health Act</w:t>
            </w:r>
            <w:r w:rsidR="00684D9B" w:rsidRPr="00720707">
              <w:rPr>
                <w:rFonts w:eastAsia="Calibri" w:cstheme="minorHAnsi"/>
                <w:sz w:val="24"/>
                <w:szCs w:val="24"/>
                <w:lang w:val="en-US"/>
              </w:rPr>
              <w:t xml:space="preserve"> (MHA)</w:t>
            </w:r>
            <w:r w:rsidR="005E1DF2" w:rsidRPr="00720707">
              <w:rPr>
                <w:rFonts w:eastAsia="Calibri" w:cstheme="minorHAnsi"/>
                <w:sz w:val="24"/>
                <w:szCs w:val="24"/>
                <w:lang w:val="en-US"/>
              </w:rPr>
              <w:t xml:space="preserve"> section 49. He was discharged to approved premises in August 2017 as his prison term had ended. No mental health follow-up was arranged.</w:t>
            </w:r>
            <w:r w:rsidR="00444B69" w:rsidRPr="00720707">
              <w:rPr>
                <w:rFonts w:eastAsia="Calibri" w:cstheme="minorHAnsi"/>
                <w:sz w:val="24"/>
                <w:szCs w:val="24"/>
                <w:lang w:val="en-US"/>
              </w:rPr>
              <w:t xml:space="preserve"> </w:t>
            </w:r>
          </w:p>
          <w:p w14:paraId="415D33A0" w14:textId="4890676D" w:rsidR="005E1DF2" w:rsidRPr="00720707" w:rsidRDefault="00684D9B" w:rsidP="00684D9B">
            <w:pPr>
              <w:widowControl w:val="0"/>
              <w:spacing w:before="120" w:after="120" w:line="240" w:lineRule="auto"/>
              <w:rPr>
                <w:rFonts w:eastAsia="Calibri" w:cstheme="minorHAnsi"/>
                <w:sz w:val="24"/>
                <w:szCs w:val="24"/>
                <w:lang w:val="en-US"/>
              </w:rPr>
            </w:pPr>
            <w:r w:rsidRPr="00D967C1">
              <w:rPr>
                <w:rFonts w:eastAsia="Calibri" w:cstheme="minorHAnsi"/>
                <w:sz w:val="24"/>
                <w:szCs w:val="24"/>
                <w:lang w:val="en-US"/>
              </w:rPr>
              <w:t>Immediately following discharge</w:t>
            </w:r>
            <w:r w:rsidR="00B204AF" w:rsidRPr="00D967C1">
              <w:rPr>
                <w:rFonts w:eastAsia="Calibri" w:cstheme="minorHAnsi"/>
                <w:sz w:val="24"/>
                <w:szCs w:val="24"/>
                <w:lang w:val="en-US"/>
              </w:rPr>
              <w:t xml:space="preserve"> from Taith Newydd</w:t>
            </w:r>
            <w:r w:rsidRPr="00D967C1">
              <w:rPr>
                <w:rFonts w:eastAsia="Calibri" w:cstheme="minorHAnsi"/>
                <w:sz w:val="24"/>
                <w:szCs w:val="24"/>
                <w:lang w:val="en-US"/>
              </w:rPr>
              <w:t xml:space="preserve"> in 201</w:t>
            </w:r>
            <w:r w:rsidR="00592304" w:rsidRPr="00D967C1">
              <w:rPr>
                <w:rFonts w:eastAsia="Calibri" w:cstheme="minorHAnsi"/>
                <w:sz w:val="24"/>
                <w:szCs w:val="24"/>
                <w:lang w:val="en-US"/>
              </w:rPr>
              <w:t>7</w:t>
            </w:r>
            <w:r w:rsidRPr="00720707">
              <w:rPr>
                <w:rFonts w:eastAsia="Calibri" w:cstheme="minorHAnsi"/>
                <w:sz w:val="24"/>
                <w:szCs w:val="24"/>
                <w:lang w:val="en-US"/>
              </w:rPr>
              <w:t xml:space="preserve">, </w:t>
            </w:r>
            <w:r w:rsidR="00DF2AA7">
              <w:rPr>
                <w:rFonts w:cstheme="minorHAnsi"/>
                <w:sz w:val="24"/>
                <w:szCs w:val="24"/>
              </w:rPr>
              <w:t>David</w:t>
            </w:r>
            <w:r w:rsidRPr="00720707">
              <w:rPr>
                <w:rFonts w:eastAsia="Calibri" w:cstheme="minorHAnsi"/>
                <w:sz w:val="24"/>
                <w:szCs w:val="24"/>
                <w:lang w:val="en-US"/>
              </w:rPr>
              <w:t xml:space="preserve"> committed a sexual offence at the approved premises and was arrested. He was sentenced to three months imprisonment with a seven</w:t>
            </w:r>
            <w:r w:rsidR="007C1B2B" w:rsidRPr="00720707">
              <w:rPr>
                <w:rFonts w:eastAsia="Calibri" w:cstheme="minorHAnsi"/>
                <w:sz w:val="24"/>
                <w:szCs w:val="24"/>
                <w:lang w:val="en-US"/>
              </w:rPr>
              <w:t>-</w:t>
            </w:r>
            <w:r w:rsidRPr="00720707">
              <w:rPr>
                <w:rFonts w:eastAsia="Calibri" w:cstheme="minorHAnsi"/>
                <w:sz w:val="24"/>
                <w:szCs w:val="24"/>
                <w:lang w:val="en-US"/>
              </w:rPr>
              <w:t xml:space="preserve">year reporting requirement. He was rearrested for a further sexual offence on release and detained on MHA section 2 for a short period. </w:t>
            </w:r>
          </w:p>
          <w:p w14:paraId="2F925BCA" w14:textId="387C6818" w:rsidR="00684D9B" w:rsidRPr="00720707" w:rsidRDefault="00684D9B" w:rsidP="005E1DF2">
            <w:pPr>
              <w:widowControl w:val="0"/>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Further periods in custody and in psychiatric care followed. On each occasion, </w:t>
            </w:r>
            <w:r w:rsidR="00DF2AA7">
              <w:rPr>
                <w:rFonts w:cstheme="minorHAnsi"/>
                <w:sz w:val="24"/>
                <w:szCs w:val="24"/>
              </w:rPr>
              <w:t>David</w:t>
            </w:r>
            <w:r w:rsidRPr="00720707">
              <w:rPr>
                <w:rFonts w:eastAsia="Calibri" w:cstheme="minorHAnsi"/>
                <w:sz w:val="24"/>
                <w:szCs w:val="24"/>
                <w:lang w:val="en-US"/>
              </w:rPr>
              <w:t xml:space="preserve"> was </w:t>
            </w:r>
            <w:r w:rsidRPr="00720707">
              <w:rPr>
                <w:rFonts w:eastAsia="Calibri" w:cstheme="minorHAnsi"/>
                <w:sz w:val="24"/>
                <w:szCs w:val="24"/>
                <w:lang w:val="en-US"/>
              </w:rPr>
              <w:lastRenderedPageBreak/>
              <w:t xml:space="preserve">found not to be suffering from a severe mental </w:t>
            </w:r>
            <w:proofErr w:type="gramStart"/>
            <w:r w:rsidRPr="00720707">
              <w:rPr>
                <w:rFonts w:eastAsia="Calibri" w:cstheme="minorHAnsi"/>
                <w:sz w:val="24"/>
                <w:szCs w:val="24"/>
                <w:lang w:val="en-US"/>
              </w:rPr>
              <w:t>illness, and</w:t>
            </w:r>
            <w:proofErr w:type="gramEnd"/>
            <w:r w:rsidRPr="00720707">
              <w:rPr>
                <w:rFonts w:eastAsia="Calibri" w:cstheme="minorHAnsi"/>
                <w:sz w:val="24"/>
                <w:szCs w:val="24"/>
                <w:lang w:val="en-US"/>
              </w:rPr>
              <w:t xml:space="preserve"> was at times suspected of feigning symptoms.</w:t>
            </w:r>
          </w:p>
          <w:p w14:paraId="1CD825FB" w14:textId="77777777" w:rsidR="00684D9B" w:rsidRPr="00720707" w:rsidRDefault="00684D9B" w:rsidP="005E1DF2">
            <w:pPr>
              <w:widowControl w:val="0"/>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He was released from prison in August 2019 and moved into </w:t>
            </w:r>
            <w:r w:rsidR="00CC4E0E" w:rsidRPr="00720707">
              <w:rPr>
                <w:rFonts w:eastAsia="Calibri" w:cstheme="minorHAnsi"/>
                <w:sz w:val="24"/>
                <w:szCs w:val="24"/>
                <w:lang w:val="en-US"/>
              </w:rPr>
              <w:t>approved premises</w:t>
            </w:r>
            <w:r w:rsidR="00B204AF" w:rsidRPr="00720707">
              <w:rPr>
                <w:rFonts w:eastAsia="Calibri" w:cstheme="minorHAnsi"/>
                <w:sz w:val="24"/>
                <w:szCs w:val="24"/>
                <w:lang w:val="en-US"/>
              </w:rPr>
              <w:t xml:space="preserve"> in Swansea.</w:t>
            </w:r>
          </w:p>
        </w:tc>
      </w:tr>
    </w:tbl>
    <w:p w14:paraId="4CF66CA8" w14:textId="77777777" w:rsidR="00DD590A" w:rsidRPr="00720707" w:rsidRDefault="00DD590A" w:rsidP="00DD590A">
      <w:pPr>
        <w:widowControl w:val="0"/>
        <w:spacing w:after="0" w:line="240" w:lineRule="auto"/>
        <w:ind w:left="1985"/>
        <w:rPr>
          <w:rFonts w:eastAsia="Calibri" w:cstheme="minorHAnsi"/>
          <w:b/>
          <w:i/>
          <w:sz w:val="24"/>
          <w:szCs w:val="24"/>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DD590A" w:rsidRPr="00720707" w14:paraId="1B3DDC11" w14:textId="77777777" w:rsidTr="00B07464">
        <w:trPr>
          <w:trHeight w:val="1374"/>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vAlign w:val="center"/>
          </w:tcPr>
          <w:p w14:paraId="24B33469" w14:textId="77777777" w:rsidR="00DD590A" w:rsidRPr="00720707" w:rsidRDefault="00DD590A" w:rsidP="00DD590A">
            <w:pPr>
              <w:widowControl w:val="0"/>
              <w:spacing w:after="0" w:line="240" w:lineRule="auto"/>
              <w:ind w:left="360"/>
              <w:jc w:val="center"/>
              <w:rPr>
                <w:rFonts w:eastAsia="Calibri" w:cstheme="minorHAnsi"/>
                <w:b/>
                <w:sz w:val="24"/>
                <w:szCs w:val="24"/>
                <w:lang w:val="en-US"/>
              </w:rPr>
            </w:pPr>
            <w:r w:rsidRPr="00720707">
              <w:rPr>
                <w:rFonts w:eastAsia="Calibri" w:cstheme="minorHAnsi"/>
                <w:b/>
                <w:sz w:val="24"/>
                <w:szCs w:val="24"/>
                <w:lang w:val="en-US"/>
              </w:rPr>
              <w:t xml:space="preserve">Practice </w:t>
            </w:r>
            <w:r w:rsidR="00B07464" w:rsidRPr="00720707">
              <w:rPr>
                <w:rFonts w:eastAsia="Calibri" w:cstheme="minorHAnsi"/>
                <w:b/>
                <w:sz w:val="24"/>
                <w:szCs w:val="24"/>
                <w:lang w:val="en-US"/>
              </w:rPr>
              <w:t xml:space="preserve">And Organisational Learning </w:t>
            </w:r>
          </w:p>
          <w:p w14:paraId="09EE6FA6" w14:textId="77777777" w:rsidR="00DD590A" w:rsidRPr="00720707" w:rsidRDefault="00DD590A" w:rsidP="00B07464">
            <w:pPr>
              <w:widowControl w:val="0"/>
              <w:spacing w:after="0" w:line="240" w:lineRule="auto"/>
              <w:ind w:left="360"/>
              <w:rPr>
                <w:rFonts w:eastAsia="Calibri" w:cstheme="minorHAnsi"/>
                <w:b/>
                <w:sz w:val="24"/>
                <w:szCs w:val="24"/>
                <w:lang w:val="en-US"/>
              </w:rPr>
            </w:pPr>
            <w:r w:rsidRPr="00720707">
              <w:rPr>
                <w:rFonts w:eastAsia="Calibri" w:cstheme="minorHAnsi"/>
                <w:i/>
                <w:sz w:val="24"/>
                <w:szCs w:val="24"/>
                <w:lang w:val="en-US"/>
              </w:rPr>
              <w:t xml:space="preserve">Identify each individual </w:t>
            </w:r>
            <w:r w:rsidRPr="00720707">
              <w:rPr>
                <w:rFonts w:eastAsia="Calibri" w:cstheme="minorHAnsi"/>
                <w:i/>
                <w:sz w:val="24"/>
                <w:szCs w:val="24"/>
                <w:u w:val="single"/>
                <w:lang w:val="en-US"/>
              </w:rPr>
              <w:t>learning point</w:t>
            </w:r>
            <w:r w:rsidRPr="00720707">
              <w:rPr>
                <w:rFonts w:eastAsia="Calibri" w:cstheme="minorHAnsi"/>
                <w:i/>
                <w:sz w:val="24"/>
                <w:szCs w:val="24"/>
                <w:lang w:val="en-US"/>
              </w:rPr>
              <w:t xml:space="preserve"> arising in this case (including highlighting </w:t>
            </w:r>
            <w:r w:rsidRPr="00720707">
              <w:rPr>
                <w:rFonts w:eastAsia="Calibri" w:cstheme="minorHAnsi"/>
                <w:i/>
                <w:sz w:val="24"/>
                <w:szCs w:val="24"/>
                <w:u w:val="single"/>
                <w:lang w:val="en-US"/>
              </w:rPr>
              <w:t>effective practice)</w:t>
            </w:r>
            <w:r w:rsidRPr="00720707">
              <w:rPr>
                <w:rFonts w:eastAsia="Calibri" w:cstheme="minorHAnsi"/>
                <w:i/>
                <w:sz w:val="24"/>
                <w:szCs w:val="24"/>
                <w:lang w:val="en-US"/>
              </w:rPr>
              <w:t xml:space="preserve"> accompanied by a brief outline of the </w:t>
            </w:r>
            <w:r w:rsidRPr="00720707">
              <w:rPr>
                <w:rFonts w:eastAsia="Calibri" w:cstheme="minorHAnsi"/>
                <w:i/>
                <w:sz w:val="24"/>
                <w:szCs w:val="24"/>
                <w:u w:val="single"/>
                <w:lang w:val="en-US"/>
              </w:rPr>
              <w:t>relevant circumstances</w:t>
            </w:r>
          </w:p>
        </w:tc>
      </w:tr>
      <w:tr w:rsidR="00DD590A" w:rsidRPr="00720707" w14:paraId="28D5A8EF" w14:textId="77777777" w:rsidTr="00B07464">
        <w:trPr>
          <w:trHeight w:val="355"/>
          <w:jc w:val="center"/>
        </w:trPr>
        <w:tc>
          <w:tcPr>
            <w:tcW w:w="9142" w:type="dxa"/>
            <w:tcBorders>
              <w:top w:val="nil"/>
              <w:left w:val="single" w:sz="4" w:space="0" w:color="auto"/>
              <w:bottom w:val="single" w:sz="4" w:space="0" w:color="auto"/>
              <w:right w:val="single" w:sz="4" w:space="0" w:color="auto"/>
            </w:tcBorders>
            <w:vAlign w:val="bottom"/>
          </w:tcPr>
          <w:p w14:paraId="2F304AD3" w14:textId="77777777" w:rsidR="00DD590A" w:rsidRPr="00720707" w:rsidRDefault="0012773A" w:rsidP="0012773A">
            <w:pPr>
              <w:rPr>
                <w:rFonts w:cstheme="minorHAnsi"/>
                <w:sz w:val="24"/>
                <w:szCs w:val="24"/>
              </w:rPr>
            </w:pPr>
            <w:r w:rsidRPr="00720707">
              <w:rPr>
                <w:rFonts w:cstheme="minorHAnsi"/>
                <w:sz w:val="24"/>
                <w:szCs w:val="24"/>
              </w:rPr>
              <w:t>Several of the themes overlap and impact on each other. The reviewer has attempted to separate the themes but is aware of their interdependence. There will be cross-references to other sections where this is relevant.</w:t>
            </w:r>
          </w:p>
          <w:p w14:paraId="6AB3418A" w14:textId="77777777" w:rsidR="00FF24C5" w:rsidRPr="00720707" w:rsidRDefault="00FF24C5" w:rsidP="0012773A">
            <w:pPr>
              <w:rPr>
                <w:rFonts w:cstheme="minorHAnsi"/>
                <w:sz w:val="24"/>
                <w:szCs w:val="24"/>
              </w:rPr>
            </w:pPr>
          </w:p>
          <w:p w14:paraId="79E63082" w14:textId="77777777" w:rsidR="00FA7F0B" w:rsidRPr="00720707" w:rsidRDefault="00FA7F0B" w:rsidP="00FB6C9A">
            <w:pPr>
              <w:spacing w:before="120" w:after="120" w:line="240" w:lineRule="auto"/>
              <w:rPr>
                <w:rFonts w:cstheme="minorHAnsi"/>
                <w:b/>
                <w:bCs/>
                <w:sz w:val="24"/>
                <w:szCs w:val="24"/>
              </w:rPr>
            </w:pPr>
            <w:r w:rsidRPr="00720707">
              <w:rPr>
                <w:rFonts w:cstheme="minorHAnsi"/>
                <w:b/>
                <w:bCs/>
                <w:sz w:val="24"/>
                <w:szCs w:val="24"/>
                <w:u w:val="single"/>
              </w:rPr>
              <w:t>Mental health resources at HMP Parc</w:t>
            </w:r>
          </w:p>
          <w:p w14:paraId="0EDFE237" w14:textId="32B6B30F"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There is no doubt that </w:t>
            </w:r>
            <w:r w:rsidR="00DF2AA7">
              <w:rPr>
                <w:rFonts w:cstheme="minorHAnsi"/>
                <w:sz w:val="24"/>
                <w:szCs w:val="24"/>
              </w:rPr>
              <w:t>David</w:t>
            </w:r>
            <w:r w:rsidRPr="00720707">
              <w:rPr>
                <w:rFonts w:cstheme="minorHAnsi"/>
                <w:sz w:val="24"/>
                <w:szCs w:val="24"/>
              </w:rPr>
              <w:t xml:space="preserve"> presented a complex picture which was difficult to assess. The prison staff and care staff at HMP Parc found </w:t>
            </w:r>
            <w:r w:rsidR="00DF2AA7">
              <w:rPr>
                <w:rFonts w:cstheme="minorHAnsi"/>
                <w:sz w:val="24"/>
                <w:szCs w:val="24"/>
              </w:rPr>
              <w:t>David</w:t>
            </w:r>
            <w:r w:rsidRPr="00720707">
              <w:rPr>
                <w:rFonts w:cstheme="minorHAnsi"/>
                <w:sz w:val="24"/>
                <w:szCs w:val="24"/>
              </w:rPr>
              <w:t xml:space="preserve"> extremely challenging to manage. There is significant recording of concerns regarding the ability to respond to </w:t>
            </w:r>
            <w:r w:rsidR="00DF2AA7">
              <w:rPr>
                <w:rFonts w:cstheme="minorHAnsi"/>
                <w:sz w:val="24"/>
                <w:szCs w:val="24"/>
              </w:rPr>
              <w:t>David</w:t>
            </w:r>
            <w:r w:rsidRPr="00720707">
              <w:rPr>
                <w:rFonts w:cstheme="minorHAnsi"/>
                <w:sz w:val="24"/>
                <w:szCs w:val="24"/>
              </w:rPr>
              <w:t xml:space="preserve">’s presentation and the belief </w:t>
            </w:r>
            <w:r w:rsidR="00895DD2" w:rsidRPr="00720707">
              <w:rPr>
                <w:rFonts w:cstheme="minorHAnsi"/>
                <w:sz w:val="24"/>
                <w:szCs w:val="24"/>
              </w:rPr>
              <w:t xml:space="preserve">by the prison staff </w:t>
            </w:r>
            <w:r w:rsidRPr="00720707">
              <w:rPr>
                <w:rFonts w:cstheme="minorHAnsi"/>
                <w:sz w:val="24"/>
                <w:szCs w:val="24"/>
              </w:rPr>
              <w:t>that his behaviour was driven by mental disorder rather than rational decision-making.</w:t>
            </w:r>
          </w:p>
          <w:p w14:paraId="3DF61C8A" w14:textId="1C489541" w:rsidR="00FA7F0B" w:rsidRPr="00720707" w:rsidRDefault="00FA7F0B" w:rsidP="00FB6C9A">
            <w:pPr>
              <w:spacing w:before="120" w:after="120" w:line="240" w:lineRule="auto"/>
              <w:rPr>
                <w:rFonts w:cstheme="minorHAnsi"/>
                <w:sz w:val="24"/>
                <w:szCs w:val="24"/>
              </w:rPr>
            </w:pPr>
            <w:r w:rsidRPr="00720707">
              <w:rPr>
                <w:rFonts w:cstheme="minorHAnsi"/>
                <w:sz w:val="24"/>
                <w:szCs w:val="24"/>
              </w:rPr>
              <w:t>HMP Parc was opened in 1997 and is contracted to G4S Care and Justice Limited, a private company to manage the prison on behalf of the government. The prison housed 800 prisoners when it opened. In July 2022 at the time of an inspection by HM Inspectorate of Prisons, the normal capacity of the prison was recorded as 1</w:t>
            </w:r>
            <w:r w:rsidR="009476AB">
              <w:rPr>
                <w:rFonts w:cstheme="minorHAnsi"/>
                <w:sz w:val="24"/>
                <w:szCs w:val="24"/>
              </w:rPr>
              <w:t>,</w:t>
            </w:r>
            <w:r w:rsidRPr="00720707">
              <w:rPr>
                <w:rFonts w:cstheme="minorHAnsi"/>
                <w:sz w:val="24"/>
                <w:szCs w:val="24"/>
              </w:rPr>
              <w:t>495. There were 1,623 prisoners at the prison at the time of the inspection, within 16 of the absolute operational capacity of the prison</w:t>
            </w:r>
            <w:r w:rsidRPr="00A07774">
              <w:rPr>
                <w:rStyle w:val="FootnoteReference"/>
                <w:rFonts w:asciiTheme="minorHAnsi" w:hAnsiTheme="minorHAnsi" w:cstheme="minorHAnsi"/>
                <w:sz w:val="24"/>
                <w:szCs w:val="24"/>
                <w:vertAlign w:val="superscript"/>
              </w:rPr>
              <w:footnoteReference w:id="1"/>
            </w:r>
            <w:r w:rsidRPr="00720707">
              <w:rPr>
                <w:rFonts w:cstheme="minorHAnsi"/>
                <w:sz w:val="24"/>
                <w:szCs w:val="24"/>
              </w:rPr>
              <w:t>.</w:t>
            </w:r>
          </w:p>
          <w:p w14:paraId="25B1BBB1"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The inspection report states that 394 prisoners had been referred to the mental health team during the previous three months (this equates to over 30 referrals per week)</w:t>
            </w:r>
          </w:p>
          <w:p w14:paraId="2E7A3BCF"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The inspection report concluded that “There were not enough resources to make sure that all referred prisoners received a timely assessment of their needs and subsequent treatment”</w:t>
            </w:r>
            <w:r w:rsidRPr="00A07774">
              <w:rPr>
                <w:rStyle w:val="FootnoteReference"/>
                <w:rFonts w:asciiTheme="minorHAnsi" w:hAnsiTheme="minorHAnsi" w:cstheme="minorHAnsi"/>
                <w:sz w:val="24"/>
                <w:szCs w:val="24"/>
                <w:vertAlign w:val="superscript"/>
              </w:rPr>
              <w:footnoteReference w:id="2"/>
            </w:r>
            <w:r w:rsidRPr="00720707">
              <w:rPr>
                <w:rFonts w:cstheme="minorHAnsi"/>
                <w:sz w:val="24"/>
                <w:szCs w:val="24"/>
              </w:rPr>
              <w:t>. “Mental health services were failing to meet the needs of the population”</w:t>
            </w:r>
            <w:r w:rsidRPr="00A07774">
              <w:rPr>
                <w:rStyle w:val="FootnoteReference"/>
                <w:rFonts w:asciiTheme="minorHAnsi" w:hAnsiTheme="minorHAnsi" w:cstheme="minorHAnsi"/>
                <w:sz w:val="24"/>
                <w:szCs w:val="24"/>
                <w:vertAlign w:val="superscript"/>
              </w:rPr>
              <w:footnoteReference w:id="3"/>
            </w:r>
            <w:r w:rsidRPr="00720707">
              <w:rPr>
                <w:rFonts w:cstheme="minorHAnsi"/>
                <w:sz w:val="24"/>
                <w:szCs w:val="24"/>
              </w:rPr>
              <w:t>.</w:t>
            </w:r>
          </w:p>
          <w:p w14:paraId="22554B1E"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This followed a similar report at the time of the previous inspection in 2019. “The team was under-</w:t>
            </w:r>
            <w:proofErr w:type="gramStart"/>
            <w:r w:rsidRPr="00720707">
              <w:rPr>
                <w:rFonts w:cstheme="minorHAnsi"/>
                <w:sz w:val="24"/>
                <w:szCs w:val="24"/>
              </w:rPr>
              <w:t>resourced, and</w:t>
            </w:r>
            <w:proofErr w:type="gramEnd"/>
            <w:r w:rsidRPr="00720707">
              <w:rPr>
                <w:rFonts w:cstheme="minorHAnsi"/>
                <w:sz w:val="24"/>
                <w:szCs w:val="24"/>
              </w:rPr>
              <w:t xml:space="preserve"> also covered another prison. There were insufficient psychiatry sessions…minimal psychology input and no dual diagnosis pathway…”</w:t>
            </w:r>
            <w:r w:rsidRPr="00A07774">
              <w:rPr>
                <w:rStyle w:val="FootnoteReference"/>
                <w:rFonts w:asciiTheme="minorHAnsi" w:hAnsiTheme="minorHAnsi" w:cstheme="minorHAnsi"/>
                <w:sz w:val="24"/>
                <w:szCs w:val="24"/>
                <w:vertAlign w:val="superscript"/>
              </w:rPr>
              <w:footnoteReference w:id="4"/>
            </w:r>
          </w:p>
          <w:p w14:paraId="3D2F8C59"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This reflects the views of practitioners and managers who took part in learning events held as part of this review. A significant lack of resources for prisoners with mental health needs was raised by participants at the</w:t>
            </w:r>
            <w:r w:rsidR="00895DD2" w:rsidRPr="00720707">
              <w:rPr>
                <w:rFonts w:cstheme="minorHAnsi"/>
                <w:sz w:val="24"/>
                <w:szCs w:val="24"/>
              </w:rPr>
              <w:t>se</w:t>
            </w:r>
            <w:r w:rsidRPr="00720707">
              <w:rPr>
                <w:rFonts w:cstheme="minorHAnsi"/>
                <w:sz w:val="24"/>
                <w:szCs w:val="24"/>
              </w:rPr>
              <w:t xml:space="preserve"> events.</w:t>
            </w:r>
          </w:p>
          <w:p w14:paraId="642812FD" w14:textId="5CA97AFB" w:rsidR="00FA7F0B" w:rsidRDefault="00895DD2" w:rsidP="00B204AF">
            <w:pPr>
              <w:shd w:val="clear" w:color="auto" w:fill="FFFFFF" w:themeFill="background1"/>
              <w:spacing w:before="120" w:after="120" w:line="240" w:lineRule="auto"/>
              <w:rPr>
                <w:rFonts w:cstheme="minorHAnsi"/>
                <w:sz w:val="24"/>
                <w:szCs w:val="24"/>
              </w:rPr>
            </w:pPr>
            <w:r w:rsidRPr="00653A46">
              <w:rPr>
                <w:rFonts w:cstheme="minorHAnsi"/>
                <w:sz w:val="24"/>
                <w:szCs w:val="24"/>
              </w:rPr>
              <w:lastRenderedPageBreak/>
              <w:t>A total of t</w:t>
            </w:r>
            <w:r w:rsidR="00FA7F0B" w:rsidRPr="00653A46">
              <w:rPr>
                <w:rFonts w:cstheme="minorHAnsi"/>
                <w:sz w:val="24"/>
                <w:szCs w:val="24"/>
              </w:rPr>
              <w:t xml:space="preserve">wo days </w:t>
            </w:r>
            <w:r w:rsidR="00653A46" w:rsidRPr="00653A46">
              <w:rPr>
                <w:rFonts w:cstheme="minorHAnsi"/>
                <w:sz w:val="24"/>
                <w:szCs w:val="24"/>
              </w:rPr>
              <w:t>per week psychiatry</w:t>
            </w:r>
            <w:r w:rsidR="00FA7F0B" w:rsidRPr="00653A46">
              <w:rPr>
                <w:rFonts w:cstheme="minorHAnsi"/>
                <w:sz w:val="24"/>
                <w:szCs w:val="24"/>
              </w:rPr>
              <w:t xml:space="preserve"> support was available to prisoners covering both HMP Parc and HMP Swansea. </w:t>
            </w:r>
            <w:r w:rsidR="00CC4E0E" w:rsidRPr="00653A46">
              <w:rPr>
                <w:rFonts w:cstheme="minorHAnsi"/>
                <w:sz w:val="24"/>
                <w:szCs w:val="24"/>
              </w:rPr>
              <w:t>At the learning event, it was established that the two days provisi</w:t>
            </w:r>
            <w:r w:rsidR="00B51B43" w:rsidRPr="00653A46">
              <w:rPr>
                <w:rFonts w:cstheme="minorHAnsi"/>
                <w:sz w:val="24"/>
                <w:szCs w:val="24"/>
              </w:rPr>
              <w:t>on for these two prisons</w:t>
            </w:r>
            <w:r w:rsidR="00CC4E0E" w:rsidRPr="00653A46">
              <w:rPr>
                <w:rFonts w:cstheme="minorHAnsi"/>
                <w:sz w:val="24"/>
                <w:szCs w:val="24"/>
              </w:rPr>
              <w:t xml:space="preserve"> was put in place when the prison initially opened with a population of 800 and has not increased until very recently with an additional half day</w:t>
            </w:r>
            <w:r w:rsidR="00653A46" w:rsidRPr="00653A46">
              <w:rPr>
                <w:rFonts w:cstheme="minorHAnsi"/>
                <w:sz w:val="24"/>
                <w:szCs w:val="24"/>
              </w:rPr>
              <w:t xml:space="preserve"> per week</w:t>
            </w:r>
            <w:r w:rsidR="00CC4E0E" w:rsidRPr="00653A46">
              <w:rPr>
                <w:rFonts w:cstheme="minorHAnsi"/>
                <w:sz w:val="24"/>
                <w:szCs w:val="24"/>
              </w:rPr>
              <w:t xml:space="preserve">. </w:t>
            </w:r>
            <w:r w:rsidR="00FA7F0B" w:rsidRPr="00653A46">
              <w:rPr>
                <w:rFonts w:cstheme="minorHAnsi"/>
                <w:sz w:val="24"/>
                <w:szCs w:val="24"/>
              </w:rPr>
              <w:t>Th</w:t>
            </w:r>
            <w:r w:rsidR="00DF200C" w:rsidRPr="00653A46">
              <w:rPr>
                <w:rFonts w:cstheme="minorHAnsi"/>
                <w:sz w:val="24"/>
                <w:szCs w:val="24"/>
              </w:rPr>
              <w:t>e</w:t>
            </w:r>
            <w:r w:rsidR="00FA7F0B" w:rsidRPr="00653A46">
              <w:rPr>
                <w:rFonts w:cstheme="minorHAnsi"/>
                <w:sz w:val="24"/>
                <w:szCs w:val="24"/>
              </w:rPr>
              <w:t xml:space="preserve"> increase</w:t>
            </w:r>
            <w:r w:rsidR="00DF200C" w:rsidRPr="00653A46">
              <w:rPr>
                <w:rFonts w:cstheme="minorHAnsi"/>
                <w:sz w:val="24"/>
                <w:szCs w:val="24"/>
              </w:rPr>
              <w:t xml:space="preserve"> t</w:t>
            </w:r>
            <w:r w:rsidR="00FA7F0B" w:rsidRPr="00653A46">
              <w:rPr>
                <w:rFonts w:cstheme="minorHAnsi"/>
                <w:sz w:val="24"/>
                <w:szCs w:val="24"/>
              </w:rPr>
              <w:t xml:space="preserve">o </w:t>
            </w:r>
            <w:r w:rsidR="00DF200C" w:rsidRPr="00653A46">
              <w:rPr>
                <w:rFonts w:cstheme="minorHAnsi"/>
                <w:sz w:val="24"/>
                <w:szCs w:val="24"/>
              </w:rPr>
              <w:t xml:space="preserve">a new total of </w:t>
            </w:r>
            <w:r w:rsidR="00FA7F0B" w:rsidRPr="00653A46">
              <w:rPr>
                <w:rFonts w:cstheme="minorHAnsi"/>
                <w:sz w:val="24"/>
                <w:szCs w:val="24"/>
              </w:rPr>
              <w:t xml:space="preserve">2.5 days of mental health </w:t>
            </w:r>
            <w:r w:rsidR="00653A46" w:rsidRPr="00653A46">
              <w:rPr>
                <w:rFonts w:cstheme="minorHAnsi"/>
                <w:sz w:val="24"/>
                <w:szCs w:val="24"/>
              </w:rPr>
              <w:t xml:space="preserve">(psychiatric) </w:t>
            </w:r>
            <w:r w:rsidR="00FA7F0B" w:rsidRPr="00653A46">
              <w:rPr>
                <w:rFonts w:cstheme="minorHAnsi"/>
                <w:sz w:val="24"/>
                <w:szCs w:val="24"/>
              </w:rPr>
              <w:t xml:space="preserve">support </w:t>
            </w:r>
            <w:r w:rsidR="00653A46" w:rsidRPr="00653A46">
              <w:rPr>
                <w:rFonts w:cstheme="minorHAnsi"/>
                <w:sz w:val="24"/>
                <w:szCs w:val="24"/>
              </w:rPr>
              <w:t xml:space="preserve">per week </w:t>
            </w:r>
            <w:r w:rsidR="00FA7F0B" w:rsidRPr="00653A46">
              <w:rPr>
                <w:rFonts w:cstheme="minorHAnsi"/>
                <w:sz w:val="24"/>
                <w:szCs w:val="24"/>
              </w:rPr>
              <w:t xml:space="preserve">has </w:t>
            </w:r>
            <w:r w:rsidR="00DF200C" w:rsidRPr="00653A46">
              <w:rPr>
                <w:rFonts w:cstheme="minorHAnsi"/>
                <w:sz w:val="24"/>
                <w:szCs w:val="24"/>
              </w:rPr>
              <w:t>been since</w:t>
            </w:r>
            <w:r w:rsidR="00FA7F0B" w:rsidRPr="00653A46">
              <w:rPr>
                <w:rFonts w:cstheme="minorHAnsi"/>
                <w:sz w:val="24"/>
                <w:szCs w:val="24"/>
              </w:rPr>
              <w:t xml:space="preserve"> </w:t>
            </w:r>
            <w:r w:rsidR="00DF200C" w:rsidRPr="00653A46">
              <w:rPr>
                <w:rFonts w:cstheme="minorHAnsi"/>
                <w:sz w:val="24"/>
                <w:szCs w:val="24"/>
              </w:rPr>
              <w:t xml:space="preserve">the </w:t>
            </w:r>
            <w:r w:rsidR="00FA7F0B" w:rsidRPr="00653A46">
              <w:rPr>
                <w:rFonts w:cstheme="minorHAnsi"/>
                <w:sz w:val="24"/>
                <w:szCs w:val="24"/>
              </w:rPr>
              <w:t xml:space="preserve">G4S </w:t>
            </w:r>
            <w:r w:rsidR="00DF200C" w:rsidRPr="00653A46">
              <w:rPr>
                <w:rFonts w:cstheme="minorHAnsi"/>
                <w:sz w:val="24"/>
                <w:szCs w:val="24"/>
              </w:rPr>
              <w:t xml:space="preserve">Prison has moved </w:t>
            </w:r>
            <w:r w:rsidR="00FA7F0B" w:rsidRPr="00653A46">
              <w:rPr>
                <w:rFonts w:cstheme="minorHAnsi"/>
                <w:sz w:val="24"/>
                <w:szCs w:val="24"/>
              </w:rPr>
              <w:t>to Cwm Taf Morgannwg Health Board.</w:t>
            </w:r>
          </w:p>
          <w:p w14:paraId="38345520" w14:textId="39EBD898" w:rsidR="00BB16D6" w:rsidRPr="00720707" w:rsidRDefault="00BB16D6" w:rsidP="00B204AF">
            <w:pPr>
              <w:shd w:val="clear" w:color="auto" w:fill="FFFFFF" w:themeFill="background1"/>
              <w:spacing w:before="120" w:after="120" w:line="240" w:lineRule="auto"/>
              <w:rPr>
                <w:rFonts w:cstheme="minorHAnsi"/>
                <w:sz w:val="24"/>
                <w:szCs w:val="24"/>
              </w:rPr>
            </w:pPr>
            <w:r w:rsidRPr="00266A7D">
              <w:rPr>
                <w:rFonts w:cstheme="minorHAnsi"/>
                <w:sz w:val="24"/>
                <w:szCs w:val="24"/>
              </w:rPr>
              <w:t>Since the dates covered in this report, the mental health support to HMPs Parc and Swansea are no longer shared. For the sake of clarity, this report comments only on the mental health support in HMP Parc.</w:t>
            </w:r>
            <w:r>
              <w:rPr>
                <w:rFonts w:cstheme="minorHAnsi"/>
                <w:sz w:val="24"/>
                <w:szCs w:val="24"/>
              </w:rPr>
              <w:t xml:space="preserve"> </w:t>
            </w:r>
          </w:p>
          <w:p w14:paraId="706D59E3" w14:textId="02D51F70" w:rsidR="00FA7F0B" w:rsidRPr="00720707" w:rsidRDefault="00FA7F0B" w:rsidP="00FB6C9A">
            <w:pPr>
              <w:spacing w:before="120" w:after="120" w:line="240" w:lineRule="auto"/>
              <w:rPr>
                <w:rFonts w:cstheme="minorHAnsi"/>
                <w:sz w:val="24"/>
                <w:szCs w:val="24"/>
              </w:rPr>
            </w:pPr>
            <w:r w:rsidRPr="00720707">
              <w:rPr>
                <w:rFonts w:cstheme="minorHAnsi"/>
                <w:sz w:val="24"/>
                <w:szCs w:val="24"/>
              </w:rPr>
              <w:t>A report by Cwm Taf Morgannwg Health Board in 2021</w:t>
            </w:r>
            <w:r w:rsidRPr="00A07774">
              <w:rPr>
                <w:rStyle w:val="FootnoteReference"/>
                <w:rFonts w:asciiTheme="minorHAnsi" w:hAnsiTheme="minorHAnsi" w:cstheme="minorHAnsi"/>
                <w:sz w:val="24"/>
                <w:szCs w:val="24"/>
                <w:vertAlign w:val="superscript"/>
              </w:rPr>
              <w:footnoteReference w:id="5"/>
            </w:r>
            <w:r w:rsidRPr="00720707">
              <w:rPr>
                <w:rFonts w:cstheme="minorHAnsi"/>
                <w:sz w:val="24"/>
                <w:szCs w:val="24"/>
              </w:rPr>
              <w:t xml:space="preserve"> into the services provided to HMP Parc reinforces the concerns regarding insufficient resources. It states that due to the lack of capacity there is little provision in the way of any therapeutic interventions. Only a minimal number of prisoners receive interventions from the primary mental health team itself. The first line response is pharmacological.</w:t>
            </w:r>
            <w:r w:rsidRPr="00A07774">
              <w:rPr>
                <w:rStyle w:val="FootnoteReference"/>
                <w:rFonts w:asciiTheme="minorHAnsi" w:hAnsiTheme="minorHAnsi" w:cstheme="minorHAnsi"/>
                <w:sz w:val="24"/>
                <w:szCs w:val="24"/>
                <w:vertAlign w:val="superscript"/>
              </w:rPr>
              <w:footnoteReference w:id="6"/>
            </w:r>
          </w:p>
          <w:p w14:paraId="2E1E3B79" w14:textId="77777777" w:rsidR="00FA7F0B" w:rsidRDefault="00FA7F0B" w:rsidP="00FB6C9A">
            <w:pPr>
              <w:spacing w:before="120" w:after="120" w:line="240" w:lineRule="auto"/>
              <w:rPr>
                <w:rFonts w:cstheme="minorHAnsi"/>
                <w:sz w:val="24"/>
                <w:szCs w:val="24"/>
              </w:rPr>
            </w:pPr>
            <w:r w:rsidRPr="00720707">
              <w:rPr>
                <w:rFonts w:cstheme="minorHAnsi"/>
                <w:sz w:val="24"/>
                <w:szCs w:val="24"/>
              </w:rPr>
              <w:t>HMIP report states that HMP Parc has a higher proportion of prisoners with mental health needs than the average. This means that significantly greater focus should be given to mental health services at HMP Parc to manage this increased need.</w:t>
            </w:r>
          </w:p>
          <w:p w14:paraId="31A01136" w14:textId="4CCE2AB1" w:rsidR="00BB16D6" w:rsidRDefault="00BB16D6" w:rsidP="00FB6C9A">
            <w:pPr>
              <w:spacing w:before="120" w:after="120" w:line="240" w:lineRule="auto"/>
              <w:rPr>
                <w:rFonts w:cstheme="minorHAnsi"/>
                <w:sz w:val="24"/>
                <w:szCs w:val="24"/>
              </w:rPr>
            </w:pPr>
            <w:r w:rsidRPr="00266A7D">
              <w:rPr>
                <w:rFonts w:cstheme="minorHAnsi"/>
                <w:sz w:val="24"/>
                <w:szCs w:val="24"/>
              </w:rPr>
              <w:t xml:space="preserve">A further report </w:t>
            </w:r>
            <w:r w:rsidR="00C055DD" w:rsidRPr="00266A7D">
              <w:rPr>
                <w:rFonts w:cstheme="minorHAnsi"/>
                <w:sz w:val="24"/>
                <w:szCs w:val="24"/>
              </w:rPr>
              <w:t xml:space="preserve">has been issued </w:t>
            </w:r>
            <w:r w:rsidRPr="00266A7D">
              <w:rPr>
                <w:rFonts w:cstheme="minorHAnsi"/>
                <w:sz w:val="24"/>
                <w:szCs w:val="24"/>
              </w:rPr>
              <w:t xml:space="preserve">of an unannounced </w:t>
            </w:r>
            <w:r w:rsidR="00C055DD" w:rsidRPr="00266A7D">
              <w:rPr>
                <w:rFonts w:cstheme="minorHAnsi"/>
                <w:sz w:val="24"/>
                <w:szCs w:val="24"/>
              </w:rPr>
              <w:t xml:space="preserve">inspection </w:t>
            </w:r>
            <w:r w:rsidRPr="00266A7D">
              <w:rPr>
                <w:rFonts w:cstheme="minorHAnsi"/>
                <w:sz w:val="24"/>
                <w:szCs w:val="24"/>
              </w:rPr>
              <w:t>visit</w:t>
            </w:r>
            <w:r w:rsidR="00C055DD" w:rsidRPr="00266A7D">
              <w:rPr>
                <w:rFonts w:cstheme="minorHAnsi"/>
                <w:sz w:val="24"/>
                <w:szCs w:val="24"/>
              </w:rPr>
              <w:t xml:space="preserve"> in January 2025 to </w:t>
            </w:r>
            <w:r w:rsidRPr="00266A7D">
              <w:rPr>
                <w:rFonts w:cstheme="minorHAnsi"/>
                <w:sz w:val="24"/>
                <w:szCs w:val="24"/>
              </w:rPr>
              <w:t>HMP Parc</w:t>
            </w:r>
            <w:r w:rsidR="00C055DD" w:rsidRPr="00266A7D">
              <w:rPr>
                <w:rFonts w:cstheme="minorHAnsi"/>
                <w:sz w:val="24"/>
                <w:szCs w:val="24"/>
              </w:rPr>
              <w:t xml:space="preserve"> by HM Chief Inspector of Prisons</w:t>
            </w:r>
            <w:r w:rsidRPr="00266A7D">
              <w:rPr>
                <w:rStyle w:val="FootnoteReference"/>
                <w:rFonts w:cstheme="minorHAnsi"/>
                <w:sz w:val="24"/>
                <w:szCs w:val="24"/>
                <w:vertAlign w:val="superscript"/>
              </w:rPr>
              <w:footnoteReference w:id="7"/>
            </w:r>
            <w:r w:rsidR="00C055DD" w:rsidRPr="00266A7D">
              <w:rPr>
                <w:rFonts w:cstheme="minorHAnsi"/>
                <w:sz w:val="24"/>
                <w:szCs w:val="24"/>
              </w:rPr>
              <w:t>. The report repeats the concerns raised in the previous report, and reinforces the issues discussed above. The number of mental health referrals recorded in the three months prior to the inspection increased by 50% over the already high numbers in 2022, averaging 46 per week.</w:t>
            </w:r>
          </w:p>
          <w:p w14:paraId="3EBCFC65" w14:textId="2D6B0332" w:rsidR="00C055DD" w:rsidRPr="00720707" w:rsidRDefault="00C055DD" w:rsidP="00FB6C9A">
            <w:pPr>
              <w:spacing w:before="120" w:after="120" w:line="240" w:lineRule="auto"/>
              <w:rPr>
                <w:rFonts w:cstheme="minorHAnsi"/>
                <w:sz w:val="24"/>
                <w:szCs w:val="24"/>
              </w:rPr>
            </w:pPr>
            <w:r w:rsidRPr="00266A7D">
              <w:rPr>
                <w:rFonts w:cstheme="minorHAnsi"/>
                <w:sz w:val="24"/>
                <w:szCs w:val="24"/>
              </w:rPr>
              <w:t>The report again talks of highly skilled and hard-working mental health professionals, but a severe shortage of resources means they are unable to meet the needs of many patients. Access to psychological therapies is not available, and routine follow-up with a psychiatrist takes 22 weeks.</w:t>
            </w:r>
          </w:p>
          <w:p w14:paraId="58DC5AE9" w14:textId="77777777" w:rsidR="00FA7F0B" w:rsidRPr="00720707" w:rsidRDefault="00FA7F0B" w:rsidP="00FB6C9A">
            <w:pPr>
              <w:spacing w:before="120" w:after="120" w:line="240" w:lineRule="auto"/>
              <w:rPr>
                <w:rFonts w:cstheme="minorHAnsi"/>
                <w:sz w:val="24"/>
                <w:szCs w:val="24"/>
              </w:rPr>
            </w:pPr>
          </w:p>
          <w:p w14:paraId="18988133" w14:textId="77777777" w:rsidR="00FA7F0B" w:rsidRPr="00720707" w:rsidRDefault="00FA7F0B" w:rsidP="00FB6C9A">
            <w:pPr>
              <w:spacing w:before="120" w:after="120" w:line="240" w:lineRule="auto"/>
              <w:rPr>
                <w:rFonts w:cstheme="minorHAnsi"/>
                <w:b/>
                <w:bCs/>
                <w:sz w:val="24"/>
                <w:szCs w:val="24"/>
                <w:u w:val="single"/>
              </w:rPr>
            </w:pPr>
            <w:r w:rsidRPr="00720707">
              <w:rPr>
                <w:rFonts w:cstheme="minorHAnsi"/>
                <w:b/>
                <w:bCs/>
                <w:sz w:val="24"/>
                <w:szCs w:val="24"/>
                <w:u w:val="single"/>
              </w:rPr>
              <w:t>Identification of mental disorder or severe mental illness</w:t>
            </w:r>
          </w:p>
          <w:p w14:paraId="2DA1523A" w14:textId="69AD990D"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It is important to differentiate the terms “severe mental illness” (SMI) and “mental disorder” as these appear to have been used interchangeably in relation to </w:t>
            </w:r>
            <w:r w:rsidR="00DF2AA7">
              <w:rPr>
                <w:rFonts w:cstheme="minorHAnsi"/>
                <w:sz w:val="24"/>
                <w:szCs w:val="24"/>
              </w:rPr>
              <w:t>David</w:t>
            </w:r>
            <w:r w:rsidRPr="00720707">
              <w:rPr>
                <w:rFonts w:cstheme="minorHAnsi"/>
                <w:sz w:val="24"/>
                <w:szCs w:val="24"/>
              </w:rPr>
              <w:t xml:space="preserve"> during this period. SMI is not a legal </w:t>
            </w:r>
            <w:proofErr w:type="gramStart"/>
            <w:r w:rsidRPr="00720707">
              <w:rPr>
                <w:rFonts w:cstheme="minorHAnsi"/>
                <w:sz w:val="24"/>
                <w:szCs w:val="24"/>
              </w:rPr>
              <w:t>term, but</w:t>
            </w:r>
            <w:proofErr w:type="gramEnd"/>
            <w:r w:rsidRPr="00720707">
              <w:rPr>
                <w:rFonts w:cstheme="minorHAnsi"/>
                <w:sz w:val="24"/>
                <w:szCs w:val="24"/>
              </w:rPr>
              <w:t xml:space="preserve"> is used widely and is referenced in government documentation. The term is often not defined, but where it is defined it is almost exclusively confined to schizophrenia, other psychoses and bipolar disorder.</w:t>
            </w:r>
          </w:p>
          <w:p w14:paraId="20DC469A"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It is important to reference the government’s attempt to define SMI. It states that it refers to people “with psychological problems that are often so debilitating that their ability to engage in functional and occupational activities is severely impaired.”</w:t>
            </w:r>
            <w:r w:rsidR="00895DD2" w:rsidRPr="00A07774">
              <w:rPr>
                <w:rStyle w:val="FootnoteReference"/>
                <w:rFonts w:asciiTheme="minorHAnsi" w:hAnsiTheme="minorHAnsi" w:cstheme="minorHAnsi"/>
                <w:sz w:val="24"/>
                <w:szCs w:val="24"/>
                <w:vertAlign w:val="superscript"/>
              </w:rPr>
              <w:footnoteReference w:id="8"/>
            </w:r>
          </w:p>
          <w:p w14:paraId="3D8D3905" w14:textId="6D9C3101" w:rsidR="00FA7F0B" w:rsidRPr="00720707" w:rsidRDefault="00DF2AA7" w:rsidP="00FB6C9A">
            <w:pPr>
              <w:spacing w:before="120" w:after="120" w:line="240" w:lineRule="auto"/>
              <w:rPr>
                <w:rFonts w:cstheme="minorHAnsi"/>
                <w:sz w:val="24"/>
                <w:szCs w:val="24"/>
              </w:rPr>
            </w:pPr>
            <w:r>
              <w:rPr>
                <w:rFonts w:cstheme="minorHAnsi"/>
                <w:sz w:val="24"/>
                <w:szCs w:val="24"/>
              </w:rPr>
              <w:t>David</w:t>
            </w:r>
            <w:r w:rsidR="00FA7F0B" w:rsidRPr="00720707">
              <w:rPr>
                <w:rFonts w:cstheme="minorHAnsi"/>
                <w:sz w:val="24"/>
                <w:szCs w:val="24"/>
              </w:rPr>
              <w:t xml:space="preserve">’s presentation was far from a ‘standard’ appearance of a classic mental illness. He reported some psychotic symptoms during his adolescence, including possible auditory </w:t>
            </w:r>
            <w:r w:rsidR="00FA7F0B" w:rsidRPr="00720707">
              <w:rPr>
                <w:rFonts w:cstheme="minorHAnsi"/>
                <w:sz w:val="24"/>
                <w:szCs w:val="24"/>
              </w:rPr>
              <w:lastRenderedPageBreak/>
              <w:t>hallucinations and paranoia, but there were no clear symptoms reported during the period of this review.</w:t>
            </w:r>
          </w:p>
          <w:p w14:paraId="6DD13BB2" w14:textId="51B02F99"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However, there is little doubt that </w:t>
            </w:r>
            <w:r w:rsidR="00DF2AA7">
              <w:rPr>
                <w:rFonts w:cstheme="minorHAnsi"/>
                <w:sz w:val="24"/>
                <w:szCs w:val="24"/>
              </w:rPr>
              <w:t>David</w:t>
            </w:r>
            <w:r w:rsidRPr="00720707">
              <w:rPr>
                <w:rFonts w:cstheme="minorHAnsi"/>
                <w:sz w:val="24"/>
                <w:szCs w:val="24"/>
              </w:rPr>
              <w:t xml:space="preserve"> had, and continues to have, psychological problems which are extremely debilitating, and would fulfil the definition set out by Public Health England. He did not, however, have a diagnosis of any psychotic condition, or severe affective illness during the period of this review. </w:t>
            </w:r>
            <w:proofErr w:type="gramStart"/>
            <w:r w:rsidRPr="00720707">
              <w:rPr>
                <w:rFonts w:cstheme="minorHAnsi"/>
                <w:sz w:val="24"/>
                <w:szCs w:val="24"/>
              </w:rPr>
              <w:t>Therefore</w:t>
            </w:r>
            <w:proofErr w:type="gramEnd"/>
            <w:r w:rsidRPr="00720707">
              <w:rPr>
                <w:rFonts w:cstheme="minorHAnsi"/>
                <w:sz w:val="24"/>
                <w:szCs w:val="24"/>
              </w:rPr>
              <w:t xml:space="preserve"> he was not considered to have SMI based on the widespread limitations of the definition.</w:t>
            </w:r>
          </w:p>
          <w:p w14:paraId="0EEC156D"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In contrast, mental disorder is a legal term with its definition set out in the MHA</w:t>
            </w:r>
            <w:r w:rsidRPr="00A07774">
              <w:rPr>
                <w:rStyle w:val="FootnoteReference"/>
                <w:rFonts w:asciiTheme="minorHAnsi" w:hAnsiTheme="minorHAnsi" w:cstheme="minorHAnsi"/>
                <w:sz w:val="24"/>
                <w:szCs w:val="24"/>
                <w:vertAlign w:val="superscript"/>
              </w:rPr>
              <w:footnoteReference w:id="9"/>
            </w:r>
            <w:r w:rsidRPr="00720707">
              <w:rPr>
                <w:rFonts w:cstheme="minorHAnsi"/>
                <w:sz w:val="24"/>
                <w:szCs w:val="24"/>
              </w:rPr>
              <w:t xml:space="preserve"> and expanded upon in its statutory Code of Practice. It is defined as “any disorder or disability of the mind” which is an extremely broad definition.</w:t>
            </w:r>
          </w:p>
          <w:p w14:paraId="0878E334" w14:textId="785DE182" w:rsidR="00C11954" w:rsidRDefault="00FA7F0B" w:rsidP="00FB6C9A">
            <w:pPr>
              <w:spacing w:before="120" w:after="120" w:line="240" w:lineRule="auto"/>
              <w:rPr>
                <w:rFonts w:cstheme="minorHAnsi"/>
                <w:sz w:val="24"/>
                <w:szCs w:val="24"/>
              </w:rPr>
            </w:pPr>
            <w:r w:rsidRPr="003628B1">
              <w:rPr>
                <w:rFonts w:cstheme="minorHAnsi"/>
                <w:sz w:val="24"/>
                <w:szCs w:val="24"/>
              </w:rPr>
              <w:t>The Act’s Code of Practice</w:t>
            </w:r>
            <w:r w:rsidR="00450FC5" w:rsidRPr="003628B1">
              <w:rPr>
                <w:rFonts w:cstheme="minorHAnsi"/>
                <w:sz w:val="24"/>
                <w:szCs w:val="24"/>
              </w:rPr>
              <w:t xml:space="preserve"> for Wales</w:t>
            </w:r>
            <w:r w:rsidRPr="003628B1">
              <w:rPr>
                <w:rFonts w:cstheme="minorHAnsi"/>
                <w:sz w:val="24"/>
                <w:szCs w:val="24"/>
              </w:rPr>
              <w:t xml:space="preserve"> </w:t>
            </w:r>
            <w:r w:rsidR="00C11954" w:rsidRPr="003628B1">
              <w:rPr>
                <w:rFonts w:cstheme="minorHAnsi"/>
                <w:sz w:val="24"/>
                <w:szCs w:val="24"/>
              </w:rPr>
              <w:t>provides guidance on the definition of mental disorder, including personality disorders</w:t>
            </w:r>
            <w:r w:rsidR="00C11954" w:rsidRPr="003628B1">
              <w:rPr>
                <w:rStyle w:val="FootnoteReference"/>
                <w:rFonts w:cstheme="minorHAnsi"/>
                <w:sz w:val="24"/>
                <w:szCs w:val="24"/>
                <w:vertAlign w:val="superscript"/>
              </w:rPr>
              <w:footnoteReference w:id="10"/>
            </w:r>
            <w:r w:rsidR="00C11954" w:rsidRPr="003628B1">
              <w:rPr>
                <w:rFonts w:cstheme="minorHAnsi"/>
                <w:sz w:val="24"/>
                <w:szCs w:val="24"/>
              </w:rPr>
              <w:t>, mental disorders associated with prolonged abuse of drugs or alcohol</w:t>
            </w:r>
            <w:r w:rsidR="00A07774" w:rsidRPr="003628B1">
              <w:rPr>
                <w:rStyle w:val="FootnoteReference"/>
                <w:rFonts w:cstheme="minorHAnsi"/>
                <w:sz w:val="24"/>
                <w:szCs w:val="24"/>
                <w:vertAlign w:val="superscript"/>
              </w:rPr>
              <w:footnoteReference w:id="11"/>
            </w:r>
            <w:r w:rsidR="00C11954" w:rsidRPr="003628B1">
              <w:rPr>
                <w:rFonts w:cstheme="minorHAnsi"/>
                <w:sz w:val="24"/>
                <w:szCs w:val="24"/>
              </w:rPr>
              <w:t>, and dementia</w:t>
            </w:r>
            <w:r w:rsidR="00A07774" w:rsidRPr="003628B1">
              <w:rPr>
                <w:rStyle w:val="FootnoteReference"/>
                <w:rFonts w:cstheme="minorHAnsi"/>
                <w:sz w:val="24"/>
                <w:szCs w:val="24"/>
                <w:vertAlign w:val="superscript"/>
              </w:rPr>
              <w:footnoteReference w:id="12"/>
            </w:r>
            <w:r w:rsidR="00C11954" w:rsidRPr="003628B1">
              <w:rPr>
                <w:rFonts w:cstheme="minorHAnsi"/>
                <w:sz w:val="24"/>
                <w:szCs w:val="24"/>
              </w:rPr>
              <w:t>.</w:t>
            </w:r>
          </w:p>
          <w:p w14:paraId="72C6A173" w14:textId="0CF35B51"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It appears uncontroversial that </w:t>
            </w:r>
            <w:r w:rsidR="00DF2AA7">
              <w:rPr>
                <w:rFonts w:cstheme="minorHAnsi"/>
                <w:sz w:val="24"/>
                <w:szCs w:val="24"/>
              </w:rPr>
              <w:t>David</w:t>
            </w:r>
            <w:r w:rsidRPr="00720707">
              <w:rPr>
                <w:rFonts w:cstheme="minorHAnsi"/>
                <w:sz w:val="24"/>
                <w:szCs w:val="24"/>
              </w:rPr>
              <w:t xml:space="preserve"> has taken a wide range of illicit substances since his early adolescence, and this </w:t>
            </w:r>
            <w:r w:rsidR="003673E8">
              <w:rPr>
                <w:rFonts w:cstheme="minorHAnsi"/>
                <w:sz w:val="24"/>
                <w:szCs w:val="24"/>
              </w:rPr>
              <w:t xml:space="preserve">may </w:t>
            </w:r>
            <w:r w:rsidRPr="00720707">
              <w:rPr>
                <w:rFonts w:cstheme="minorHAnsi"/>
                <w:sz w:val="24"/>
                <w:szCs w:val="24"/>
              </w:rPr>
              <w:t xml:space="preserve">have continued for </w:t>
            </w:r>
            <w:proofErr w:type="gramStart"/>
            <w:r w:rsidRPr="00720707">
              <w:rPr>
                <w:rFonts w:cstheme="minorHAnsi"/>
                <w:sz w:val="24"/>
                <w:szCs w:val="24"/>
              </w:rPr>
              <w:t xml:space="preserve">a period </w:t>
            </w:r>
            <w:r w:rsidR="003673E8">
              <w:rPr>
                <w:rFonts w:cstheme="minorHAnsi"/>
                <w:sz w:val="24"/>
                <w:szCs w:val="24"/>
              </w:rPr>
              <w:t>of time</w:t>
            </w:r>
            <w:proofErr w:type="gramEnd"/>
            <w:r w:rsidR="003673E8">
              <w:rPr>
                <w:rFonts w:cstheme="minorHAnsi"/>
                <w:sz w:val="24"/>
                <w:szCs w:val="24"/>
              </w:rPr>
              <w:t xml:space="preserve"> </w:t>
            </w:r>
            <w:r w:rsidR="0085392B" w:rsidRPr="00720707">
              <w:rPr>
                <w:rFonts w:cstheme="minorHAnsi"/>
                <w:sz w:val="24"/>
                <w:szCs w:val="24"/>
              </w:rPr>
              <w:t xml:space="preserve">whilst </w:t>
            </w:r>
            <w:r w:rsidRPr="00720707">
              <w:rPr>
                <w:rFonts w:cstheme="minorHAnsi"/>
                <w:sz w:val="24"/>
                <w:szCs w:val="24"/>
              </w:rPr>
              <w:t>he was in prison.</w:t>
            </w:r>
          </w:p>
          <w:p w14:paraId="492CAF63" w14:textId="5D126266" w:rsidR="00FA7F0B" w:rsidRPr="00720707" w:rsidRDefault="00DF2AA7" w:rsidP="00FB6C9A">
            <w:pPr>
              <w:spacing w:before="120" w:after="120" w:line="240" w:lineRule="auto"/>
              <w:rPr>
                <w:rFonts w:cstheme="minorHAnsi"/>
                <w:sz w:val="24"/>
                <w:szCs w:val="24"/>
              </w:rPr>
            </w:pPr>
            <w:r>
              <w:rPr>
                <w:rFonts w:cstheme="minorHAnsi"/>
                <w:sz w:val="24"/>
                <w:szCs w:val="24"/>
              </w:rPr>
              <w:t>David</w:t>
            </w:r>
            <w:r w:rsidR="00FA7F0B" w:rsidRPr="00720707">
              <w:rPr>
                <w:rFonts w:cstheme="minorHAnsi"/>
                <w:sz w:val="24"/>
                <w:szCs w:val="24"/>
              </w:rPr>
              <w:t xml:space="preserve"> was first assessed as malingering in 2017 and this continued to be relevant in his records until 2022 (see separate section).</w:t>
            </w:r>
          </w:p>
          <w:p w14:paraId="5251577C" w14:textId="6810CE45"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However, consideration was given to possible brain damage from late 2019 while </w:t>
            </w:r>
            <w:r w:rsidR="00DF2AA7">
              <w:rPr>
                <w:rFonts w:cstheme="minorHAnsi"/>
                <w:sz w:val="24"/>
                <w:szCs w:val="24"/>
              </w:rPr>
              <w:t>David</w:t>
            </w:r>
            <w:r w:rsidRPr="00720707">
              <w:rPr>
                <w:rFonts w:cstheme="minorHAnsi"/>
                <w:sz w:val="24"/>
                <w:szCs w:val="24"/>
              </w:rPr>
              <w:t xml:space="preserve"> was still residing in Approved Premises at Quay House. A referral was made at this time for an MRI scan to assess whether he had experienced a brain injury which would explain his violent and sexualised behaviour. A psychiatrist suggested the possibility of cognitive impairment secondary to substance use. The MRI scan was completed in spring 2020 and no abnormality was detected.</w:t>
            </w:r>
          </w:p>
          <w:p w14:paraId="159606D1" w14:textId="31C3DD6F"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In the intervening period, </w:t>
            </w:r>
            <w:r w:rsidR="00DF2AA7">
              <w:rPr>
                <w:rFonts w:cstheme="minorHAnsi"/>
                <w:sz w:val="24"/>
                <w:szCs w:val="24"/>
              </w:rPr>
              <w:t>David</w:t>
            </w:r>
            <w:r w:rsidRPr="00720707">
              <w:rPr>
                <w:rFonts w:cstheme="minorHAnsi"/>
                <w:sz w:val="24"/>
                <w:szCs w:val="24"/>
              </w:rPr>
              <w:t xml:space="preserve"> was admitted twice to psychiatric care. Both </w:t>
            </w:r>
            <w:r w:rsidR="006027D2" w:rsidRPr="00720707">
              <w:rPr>
                <w:rFonts w:cstheme="minorHAnsi"/>
                <w:sz w:val="24"/>
                <w:szCs w:val="24"/>
              </w:rPr>
              <w:t>episodes</w:t>
            </w:r>
            <w:r w:rsidRPr="00720707">
              <w:rPr>
                <w:rFonts w:cstheme="minorHAnsi"/>
                <w:sz w:val="24"/>
                <w:szCs w:val="24"/>
              </w:rPr>
              <w:t xml:space="preserve"> started as informal admissions but on both </w:t>
            </w:r>
            <w:proofErr w:type="gramStart"/>
            <w:r w:rsidRPr="00720707">
              <w:rPr>
                <w:rFonts w:cstheme="minorHAnsi"/>
                <w:sz w:val="24"/>
                <w:szCs w:val="24"/>
              </w:rPr>
              <w:t>occasions</w:t>
            </w:r>
            <w:proofErr w:type="gramEnd"/>
            <w:r w:rsidRPr="00720707">
              <w:rPr>
                <w:rFonts w:cstheme="minorHAnsi"/>
                <w:sz w:val="24"/>
                <w:szCs w:val="24"/>
              </w:rPr>
              <w:t xml:space="preserve"> </w:t>
            </w:r>
            <w:r w:rsidR="00DF2AA7">
              <w:rPr>
                <w:rFonts w:cstheme="minorHAnsi"/>
                <w:sz w:val="24"/>
                <w:szCs w:val="24"/>
              </w:rPr>
              <w:t>David</w:t>
            </w:r>
            <w:r w:rsidRPr="00720707">
              <w:rPr>
                <w:rFonts w:cstheme="minorHAnsi"/>
                <w:sz w:val="24"/>
                <w:szCs w:val="24"/>
              </w:rPr>
              <w:t xml:space="preserve"> was subsequently detained on MHA s</w:t>
            </w:r>
            <w:r w:rsidR="0012773A" w:rsidRPr="00720707">
              <w:rPr>
                <w:rFonts w:cstheme="minorHAnsi"/>
                <w:sz w:val="24"/>
                <w:szCs w:val="24"/>
              </w:rPr>
              <w:t xml:space="preserve">ection </w:t>
            </w:r>
            <w:r w:rsidRPr="00720707">
              <w:rPr>
                <w:rFonts w:cstheme="minorHAnsi"/>
                <w:sz w:val="24"/>
                <w:szCs w:val="24"/>
              </w:rPr>
              <w:t>2. The first detention lasted three days and the second detention lasted four days, before being discharged by the consultant. (see separate section on discharge</w:t>
            </w:r>
            <w:r w:rsidR="005B299F" w:rsidRPr="00720707">
              <w:rPr>
                <w:rFonts w:cstheme="minorHAnsi"/>
                <w:sz w:val="24"/>
                <w:szCs w:val="24"/>
              </w:rPr>
              <w:t>s</w:t>
            </w:r>
            <w:r w:rsidRPr="00720707">
              <w:rPr>
                <w:rFonts w:cstheme="minorHAnsi"/>
                <w:sz w:val="24"/>
                <w:szCs w:val="24"/>
              </w:rPr>
              <w:t xml:space="preserve"> from</w:t>
            </w:r>
            <w:r w:rsidR="005B299F" w:rsidRPr="00720707">
              <w:rPr>
                <w:rFonts w:cstheme="minorHAnsi"/>
                <w:sz w:val="24"/>
                <w:szCs w:val="24"/>
              </w:rPr>
              <w:t xml:space="preserve"> detention in February 2020</w:t>
            </w:r>
            <w:r w:rsidRPr="00720707">
              <w:rPr>
                <w:rFonts w:cstheme="minorHAnsi"/>
                <w:sz w:val="24"/>
                <w:szCs w:val="24"/>
              </w:rPr>
              <w:t>)</w:t>
            </w:r>
          </w:p>
          <w:p w14:paraId="37904071" w14:textId="656ADB66" w:rsidR="00FA7F0B" w:rsidRPr="00720707" w:rsidRDefault="00DF2AA7" w:rsidP="00FB6C9A">
            <w:pPr>
              <w:spacing w:before="120" w:after="120" w:line="240" w:lineRule="auto"/>
              <w:rPr>
                <w:rFonts w:cstheme="minorHAnsi"/>
                <w:sz w:val="24"/>
                <w:szCs w:val="24"/>
              </w:rPr>
            </w:pPr>
            <w:r>
              <w:rPr>
                <w:rFonts w:cstheme="minorHAnsi"/>
                <w:sz w:val="24"/>
                <w:szCs w:val="24"/>
              </w:rPr>
              <w:t>David</w:t>
            </w:r>
            <w:r w:rsidR="00FA7F0B" w:rsidRPr="00720707">
              <w:rPr>
                <w:rFonts w:cstheme="minorHAnsi"/>
                <w:sz w:val="24"/>
                <w:szCs w:val="24"/>
              </w:rPr>
              <w:t xml:space="preserve"> was discharged into the custody of the police as he was arrested for sexual offences committed while detained. The consultant completed a hand-written note for the police s</w:t>
            </w:r>
            <w:r w:rsidR="0012773A" w:rsidRPr="00720707">
              <w:rPr>
                <w:rFonts w:cstheme="minorHAnsi"/>
                <w:sz w:val="24"/>
                <w:szCs w:val="24"/>
              </w:rPr>
              <w:t>t</w:t>
            </w:r>
            <w:r w:rsidR="00FA7F0B" w:rsidRPr="00720707">
              <w:rPr>
                <w:rFonts w:cstheme="minorHAnsi"/>
                <w:sz w:val="24"/>
                <w:szCs w:val="24"/>
              </w:rPr>
              <w:t xml:space="preserve">ating that </w:t>
            </w:r>
            <w:r>
              <w:rPr>
                <w:rFonts w:cstheme="minorHAnsi"/>
                <w:sz w:val="24"/>
                <w:szCs w:val="24"/>
              </w:rPr>
              <w:t>David</w:t>
            </w:r>
            <w:r w:rsidR="00FA7F0B" w:rsidRPr="00720707">
              <w:rPr>
                <w:rFonts w:cstheme="minorHAnsi"/>
                <w:sz w:val="24"/>
                <w:szCs w:val="24"/>
              </w:rPr>
              <w:t xml:space="preserve"> “does not suffer from a severe mental illness”, and “He has capacity to know what is right from what is wrong”. The consultant wrote that </w:t>
            </w:r>
            <w:r>
              <w:rPr>
                <w:rFonts w:cstheme="minorHAnsi"/>
                <w:sz w:val="24"/>
                <w:szCs w:val="24"/>
              </w:rPr>
              <w:t>David</w:t>
            </w:r>
            <w:r w:rsidR="00FA7F0B" w:rsidRPr="00720707">
              <w:rPr>
                <w:rFonts w:cstheme="minorHAnsi"/>
                <w:sz w:val="24"/>
                <w:szCs w:val="24"/>
              </w:rPr>
              <w:t xml:space="preserve"> was fit to be interviewed by the police.</w:t>
            </w:r>
          </w:p>
          <w:p w14:paraId="3404F197" w14:textId="0312CEC2" w:rsidR="00FA7F0B" w:rsidRPr="00720707" w:rsidRDefault="00FA7F0B" w:rsidP="00FB6C9A">
            <w:pPr>
              <w:spacing w:before="120" w:after="120" w:line="240" w:lineRule="auto"/>
              <w:rPr>
                <w:rFonts w:cstheme="minorHAnsi"/>
                <w:sz w:val="24"/>
                <w:szCs w:val="24"/>
              </w:rPr>
            </w:pPr>
            <w:r w:rsidRPr="00720707">
              <w:rPr>
                <w:rFonts w:cstheme="minorHAnsi"/>
                <w:sz w:val="24"/>
                <w:szCs w:val="24"/>
                <w:shd w:val="clear" w:color="auto" w:fill="FFFFFF" w:themeFill="background1"/>
              </w:rPr>
              <w:t>At this time</w:t>
            </w:r>
            <w:r w:rsidR="0035305F" w:rsidRPr="00720707">
              <w:rPr>
                <w:rFonts w:cstheme="minorHAnsi"/>
                <w:sz w:val="24"/>
                <w:szCs w:val="24"/>
                <w:shd w:val="clear" w:color="auto" w:fill="FFFFFF" w:themeFill="background1"/>
              </w:rPr>
              <w:t xml:space="preserve">, the brevity of the note was insufficient to qualify and evidence </w:t>
            </w:r>
            <w:r w:rsidR="00DF2AA7">
              <w:rPr>
                <w:rFonts w:cstheme="minorHAnsi"/>
                <w:sz w:val="24"/>
                <w:szCs w:val="24"/>
              </w:rPr>
              <w:t>David</w:t>
            </w:r>
            <w:r w:rsidR="0035305F" w:rsidRPr="00720707">
              <w:rPr>
                <w:rFonts w:cstheme="minorHAnsi"/>
                <w:sz w:val="24"/>
                <w:szCs w:val="24"/>
                <w:shd w:val="clear" w:color="auto" w:fill="FFFFFF" w:themeFill="background1"/>
              </w:rPr>
              <w:t xml:space="preserve">’s presentation. </w:t>
            </w:r>
            <w:r w:rsidR="00DF2AA7">
              <w:rPr>
                <w:rFonts w:cstheme="minorHAnsi"/>
                <w:sz w:val="24"/>
                <w:szCs w:val="24"/>
              </w:rPr>
              <w:t>David</w:t>
            </w:r>
            <w:r w:rsidRPr="00720707">
              <w:rPr>
                <w:rFonts w:cstheme="minorHAnsi"/>
                <w:sz w:val="24"/>
                <w:szCs w:val="24"/>
              </w:rPr>
              <w:t xml:space="preserve"> was on remand at HMP Parc, and he remained there until September when he was transferred to Kneesworth Hospital on MHA s35. During this </w:t>
            </w:r>
            <w:proofErr w:type="gramStart"/>
            <w:r w:rsidRPr="00720707">
              <w:rPr>
                <w:rFonts w:cstheme="minorHAnsi"/>
                <w:sz w:val="24"/>
                <w:szCs w:val="24"/>
              </w:rPr>
              <w:t>period</w:t>
            </w:r>
            <w:proofErr w:type="gramEnd"/>
            <w:r w:rsidRPr="00720707">
              <w:rPr>
                <w:rFonts w:cstheme="minorHAnsi"/>
                <w:sz w:val="24"/>
                <w:szCs w:val="24"/>
              </w:rPr>
              <w:t xml:space="preserve"> he was exhibiting severe self- and environmental neglect, coupled with intermittent and unpredictable violence towards staff. An assessment by a psychiatrist and CPN assessed </w:t>
            </w:r>
            <w:r w:rsidR="00DF2AA7">
              <w:rPr>
                <w:rFonts w:cstheme="minorHAnsi"/>
                <w:sz w:val="24"/>
                <w:szCs w:val="24"/>
              </w:rPr>
              <w:t>David</w:t>
            </w:r>
            <w:r w:rsidRPr="00720707">
              <w:rPr>
                <w:rFonts w:cstheme="minorHAnsi"/>
                <w:sz w:val="24"/>
                <w:szCs w:val="24"/>
              </w:rPr>
              <w:t xml:space="preserve"> as being mentally unwell and this led to the transfer order.</w:t>
            </w:r>
          </w:p>
          <w:p w14:paraId="3CB4ECB9" w14:textId="6D8E5BF6" w:rsidR="00FA7F0B" w:rsidRPr="00720707" w:rsidRDefault="00DF2AA7" w:rsidP="00FB6C9A">
            <w:pPr>
              <w:spacing w:before="120" w:after="120" w:line="240" w:lineRule="auto"/>
              <w:rPr>
                <w:rFonts w:cstheme="minorHAnsi"/>
                <w:sz w:val="24"/>
                <w:szCs w:val="24"/>
              </w:rPr>
            </w:pPr>
            <w:r>
              <w:rPr>
                <w:rFonts w:cstheme="minorHAnsi"/>
                <w:sz w:val="24"/>
                <w:szCs w:val="24"/>
              </w:rPr>
              <w:lastRenderedPageBreak/>
              <w:t>David</w:t>
            </w:r>
            <w:r w:rsidR="00FA7F0B" w:rsidRPr="00720707">
              <w:rPr>
                <w:rFonts w:cstheme="minorHAnsi"/>
                <w:sz w:val="24"/>
                <w:szCs w:val="24"/>
              </w:rPr>
              <w:t xml:space="preserve">’s assessment at Kneesworth House concluded that he had not displayed any symptoms, nor had there been any signs to suggest a psychotic phenomenon or evidence of severe and enduring mental illness. The report went on however to reference evidence of “probable cognitive impairment”. The Kneesworth House consultant psychiatrist also reported that </w:t>
            </w:r>
            <w:r>
              <w:rPr>
                <w:rFonts w:cstheme="minorHAnsi"/>
                <w:sz w:val="24"/>
                <w:szCs w:val="24"/>
              </w:rPr>
              <w:t>David</w:t>
            </w:r>
            <w:r w:rsidR="00FA7F0B" w:rsidRPr="00720707">
              <w:rPr>
                <w:rFonts w:cstheme="minorHAnsi"/>
                <w:sz w:val="24"/>
                <w:szCs w:val="24"/>
              </w:rPr>
              <w:t xml:space="preserve"> was unfit to stand </w:t>
            </w:r>
            <w:proofErr w:type="gramStart"/>
            <w:r w:rsidR="00FA7F0B" w:rsidRPr="00720707">
              <w:rPr>
                <w:rFonts w:cstheme="minorHAnsi"/>
                <w:sz w:val="24"/>
                <w:szCs w:val="24"/>
              </w:rPr>
              <w:t>trial, and</w:t>
            </w:r>
            <w:proofErr w:type="gramEnd"/>
            <w:r w:rsidR="00FA7F0B" w:rsidRPr="00720707">
              <w:rPr>
                <w:rFonts w:cstheme="minorHAnsi"/>
                <w:sz w:val="24"/>
                <w:szCs w:val="24"/>
              </w:rPr>
              <w:t xml:space="preserve"> was unlikely to be fit to plead </w:t>
            </w:r>
            <w:proofErr w:type="gramStart"/>
            <w:r w:rsidR="00FA7F0B" w:rsidRPr="00720707">
              <w:rPr>
                <w:rFonts w:cstheme="minorHAnsi"/>
                <w:sz w:val="24"/>
                <w:szCs w:val="24"/>
              </w:rPr>
              <w:t>in the near future</w:t>
            </w:r>
            <w:proofErr w:type="gramEnd"/>
            <w:r w:rsidR="00FA7F0B" w:rsidRPr="00720707">
              <w:rPr>
                <w:rFonts w:cstheme="minorHAnsi"/>
                <w:sz w:val="24"/>
                <w:szCs w:val="24"/>
              </w:rPr>
              <w:t>.</w:t>
            </w:r>
          </w:p>
          <w:p w14:paraId="03EA37E6" w14:textId="659C6356"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The advice that a further neurological assessment was needed in a specialist placement inevitably meant that </w:t>
            </w:r>
            <w:r w:rsidR="00DF2AA7">
              <w:rPr>
                <w:rFonts w:cstheme="minorHAnsi"/>
                <w:sz w:val="24"/>
                <w:szCs w:val="24"/>
              </w:rPr>
              <w:t>David</w:t>
            </w:r>
            <w:r w:rsidRPr="00720707">
              <w:rPr>
                <w:rFonts w:cstheme="minorHAnsi"/>
                <w:sz w:val="24"/>
                <w:szCs w:val="24"/>
              </w:rPr>
              <w:t xml:space="preserve"> would return to prison, as the s35 was expiring.</w:t>
            </w:r>
          </w:p>
          <w:p w14:paraId="4B6F18FE" w14:textId="647A0032"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It is important here to reiterate that the Kneesworth House assessment did not conclude that </w:t>
            </w:r>
            <w:r w:rsidR="00DF2AA7">
              <w:rPr>
                <w:rFonts w:cstheme="minorHAnsi"/>
                <w:sz w:val="24"/>
                <w:szCs w:val="24"/>
              </w:rPr>
              <w:t>David</w:t>
            </w:r>
            <w:r w:rsidRPr="00720707">
              <w:rPr>
                <w:rFonts w:cstheme="minorHAnsi"/>
                <w:sz w:val="24"/>
                <w:szCs w:val="24"/>
              </w:rPr>
              <w:t xml:space="preserve"> was not suffering from a mental disorder, but that there was no evidence of severe and enduring mental illness.</w:t>
            </w:r>
          </w:p>
          <w:p w14:paraId="001EA916" w14:textId="717254AC"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The reviewer suggests that this subtlety was not appreciated by all agencies or professionals. Case conferences in February and March 2021 were very poorly attended with no presence from primary or secondary care. The </w:t>
            </w:r>
            <w:proofErr w:type="spellStart"/>
            <w:r w:rsidRPr="00720707">
              <w:rPr>
                <w:rFonts w:cstheme="minorHAnsi"/>
                <w:sz w:val="24"/>
                <w:szCs w:val="24"/>
              </w:rPr>
              <w:t>Inreach</w:t>
            </w:r>
            <w:proofErr w:type="spellEnd"/>
            <w:r w:rsidRPr="00720707">
              <w:rPr>
                <w:rFonts w:cstheme="minorHAnsi"/>
                <w:sz w:val="24"/>
                <w:szCs w:val="24"/>
              </w:rPr>
              <w:t xml:space="preserve"> Team confirmed they would not continue to be involved in </w:t>
            </w:r>
            <w:r w:rsidR="00DF2AA7">
              <w:rPr>
                <w:rFonts w:cstheme="minorHAnsi"/>
                <w:sz w:val="24"/>
                <w:szCs w:val="24"/>
              </w:rPr>
              <w:t>David</w:t>
            </w:r>
            <w:r w:rsidRPr="00720707">
              <w:rPr>
                <w:rFonts w:cstheme="minorHAnsi"/>
                <w:sz w:val="24"/>
                <w:szCs w:val="24"/>
              </w:rPr>
              <w:t>’s care as he had been assessed to have “no severe mental impairment” (sic).</w:t>
            </w:r>
          </w:p>
          <w:p w14:paraId="3349582E" w14:textId="5E9488B0"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Swansea community mental health team closed the case in March citing no signs of psychotic phenomena or severe and enduring mental illness. On that basis </w:t>
            </w:r>
            <w:r w:rsidR="00DF2AA7">
              <w:rPr>
                <w:rFonts w:cstheme="minorHAnsi"/>
                <w:sz w:val="24"/>
                <w:szCs w:val="24"/>
              </w:rPr>
              <w:t>David</w:t>
            </w:r>
            <w:r w:rsidRPr="00720707">
              <w:rPr>
                <w:rFonts w:cstheme="minorHAnsi"/>
                <w:sz w:val="24"/>
                <w:szCs w:val="24"/>
              </w:rPr>
              <w:t xml:space="preserve">’s case was transferred back to the </w:t>
            </w:r>
            <w:proofErr w:type="gramStart"/>
            <w:r w:rsidRPr="00720707">
              <w:rPr>
                <w:rFonts w:cstheme="minorHAnsi"/>
                <w:sz w:val="24"/>
                <w:szCs w:val="24"/>
              </w:rPr>
              <w:t>Long Term</w:t>
            </w:r>
            <w:proofErr w:type="gramEnd"/>
            <w:r w:rsidRPr="00720707">
              <w:rPr>
                <w:rFonts w:cstheme="minorHAnsi"/>
                <w:sz w:val="24"/>
                <w:szCs w:val="24"/>
              </w:rPr>
              <w:t xml:space="preserve"> Community Team.</w:t>
            </w:r>
          </w:p>
          <w:p w14:paraId="1FC8B67B" w14:textId="30C41FFD"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This view continued throughout the summer, with SBUHB clinical notes recording in September that </w:t>
            </w:r>
            <w:r w:rsidR="00DF2AA7">
              <w:rPr>
                <w:rFonts w:cstheme="minorHAnsi"/>
                <w:sz w:val="24"/>
                <w:szCs w:val="24"/>
              </w:rPr>
              <w:t>David</w:t>
            </w:r>
            <w:r w:rsidRPr="00720707">
              <w:rPr>
                <w:rFonts w:cstheme="minorHAnsi"/>
                <w:sz w:val="24"/>
                <w:szCs w:val="24"/>
              </w:rPr>
              <w:t xml:space="preserve"> had previously had three admissions indicating no mental disorder (sic). It goes on to quote the psychiatrist that the (very tentative) diagnosis of frontal lobe dementia is a physical illness.</w:t>
            </w:r>
          </w:p>
          <w:p w14:paraId="720D3F68" w14:textId="3918D732"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Notwithstanding the possibility of misquotation of the psychiatrist’s comments, it is important to identify the shortcomings in this statement. The statement now is not that </w:t>
            </w:r>
            <w:r w:rsidR="00DF2AA7">
              <w:rPr>
                <w:rFonts w:cstheme="minorHAnsi"/>
                <w:sz w:val="24"/>
                <w:szCs w:val="24"/>
              </w:rPr>
              <w:t>David</w:t>
            </w:r>
            <w:r w:rsidRPr="00720707">
              <w:rPr>
                <w:rFonts w:cstheme="minorHAnsi"/>
                <w:sz w:val="24"/>
                <w:szCs w:val="24"/>
              </w:rPr>
              <w:t xml:space="preserve"> has no severe and enduring mental illness, or even severe mental impairment, but that he has been repeatedly assessed as having no mental disorder.</w:t>
            </w:r>
          </w:p>
          <w:p w14:paraId="014677DD"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The statement goes on to suggest that a diagnosis of frontal lobe dementia (admittedly a very tentative one) is not a mental disorder but a physical illness. This is patently incorrect.</w:t>
            </w:r>
          </w:p>
          <w:p w14:paraId="07710F2A"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Whether the condition will respond to treatment and whether an acute or forensic psychiatric ward is the best place for a patient with this diagnosis, there is no doubt that a dementia is a mental disorder as defined by the MHA and should be treated as such.</w:t>
            </w:r>
          </w:p>
          <w:p w14:paraId="175F6261" w14:textId="77777777" w:rsidR="00F25648" w:rsidRPr="00720707" w:rsidRDefault="00F25648" w:rsidP="00FB6C9A">
            <w:pPr>
              <w:spacing w:before="120" w:after="120" w:line="240" w:lineRule="auto"/>
              <w:rPr>
                <w:rFonts w:cstheme="minorHAnsi"/>
                <w:sz w:val="24"/>
                <w:szCs w:val="24"/>
              </w:rPr>
            </w:pPr>
          </w:p>
          <w:p w14:paraId="414DD0FB" w14:textId="77777777" w:rsidR="00FA7F0B" w:rsidRPr="00720707" w:rsidRDefault="00FA7F0B" w:rsidP="00FB6C9A">
            <w:pPr>
              <w:spacing w:before="120" w:after="120" w:line="240" w:lineRule="auto"/>
              <w:rPr>
                <w:rFonts w:cstheme="minorHAnsi"/>
                <w:b/>
                <w:bCs/>
                <w:sz w:val="24"/>
                <w:szCs w:val="24"/>
                <w:u w:val="single"/>
              </w:rPr>
            </w:pPr>
            <w:r w:rsidRPr="00720707">
              <w:rPr>
                <w:rFonts w:cstheme="minorHAnsi"/>
                <w:b/>
                <w:bCs/>
                <w:sz w:val="24"/>
                <w:szCs w:val="24"/>
                <w:u w:val="single"/>
              </w:rPr>
              <w:t>Use of the term ‘malingering’</w:t>
            </w:r>
          </w:p>
          <w:p w14:paraId="6157160B"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The term ‘malingering’ is defined as feigning illness or other incapacity </w:t>
            </w:r>
            <w:proofErr w:type="gramStart"/>
            <w:r w:rsidRPr="00720707">
              <w:rPr>
                <w:rFonts w:cstheme="minorHAnsi"/>
                <w:sz w:val="24"/>
                <w:szCs w:val="24"/>
              </w:rPr>
              <w:t>in order to</w:t>
            </w:r>
            <w:proofErr w:type="gramEnd"/>
            <w:r w:rsidRPr="00720707">
              <w:rPr>
                <w:rFonts w:cstheme="minorHAnsi"/>
                <w:sz w:val="24"/>
                <w:szCs w:val="24"/>
              </w:rPr>
              <w:t xml:space="preserve"> avoid duty or work. It is also listed in the 10</w:t>
            </w:r>
            <w:r w:rsidRPr="00720707">
              <w:rPr>
                <w:rFonts w:cstheme="minorHAnsi"/>
                <w:sz w:val="24"/>
                <w:szCs w:val="24"/>
                <w:vertAlign w:val="superscript"/>
              </w:rPr>
              <w:t>th</w:t>
            </w:r>
            <w:r w:rsidRPr="00720707">
              <w:rPr>
                <w:rFonts w:cstheme="minorHAnsi"/>
                <w:sz w:val="24"/>
                <w:szCs w:val="24"/>
              </w:rPr>
              <w:t xml:space="preserve"> edition of the International Classification of Diseases (ICD-10) as conscious simulation of symptoms to obtain a goal</w:t>
            </w:r>
            <w:r w:rsidRPr="00F00ED5">
              <w:rPr>
                <w:rStyle w:val="FootnoteReference"/>
                <w:rFonts w:asciiTheme="minorHAnsi" w:hAnsiTheme="minorHAnsi" w:cstheme="minorHAnsi"/>
                <w:sz w:val="24"/>
                <w:szCs w:val="24"/>
                <w:vertAlign w:val="superscript"/>
              </w:rPr>
              <w:footnoteReference w:id="13"/>
            </w:r>
            <w:r w:rsidRPr="00720707">
              <w:rPr>
                <w:rFonts w:cstheme="minorHAnsi"/>
                <w:sz w:val="24"/>
                <w:szCs w:val="24"/>
              </w:rPr>
              <w:t>.</w:t>
            </w:r>
          </w:p>
          <w:p w14:paraId="64F598E2" w14:textId="77777777" w:rsidR="00672960" w:rsidRPr="00720707" w:rsidRDefault="006C38FE" w:rsidP="006C38FE">
            <w:pPr>
              <w:shd w:val="clear" w:color="auto" w:fill="FFFFFF" w:themeFill="background1"/>
              <w:spacing w:before="120" w:after="120" w:line="240" w:lineRule="auto"/>
              <w:rPr>
                <w:rFonts w:cstheme="minorHAnsi"/>
                <w:sz w:val="24"/>
                <w:szCs w:val="24"/>
              </w:rPr>
            </w:pPr>
            <w:r w:rsidRPr="00720707">
              <w:rPr>
                <w:rFonts w:cstheme="minorHAnsi"/>
                <w:sz w:val="24"/>
                <w:szCs w:val="24"/>
              </w:rPr>
              <w:t>The reviewer commented that a</w:t>
            </w:r>
            <w:r w:rsidR="00880353" w:rsidRPr="00720707">
              <w:rPr>
                <w:rFonts w:cstheme="minorHAnsi"/>
                <w:sz w:val="24"/>
                <w:szCs w:val="24"/>
              </w:rPr>
              <w:t xml:space="preserve">lthough the term still exists, it is now rarely used and </w:t>
            </w:r>
            <w:proofErr w:type="gramStart"/>
            <w:r w:rsidR="00880353" w:rsidRPr="00720707">
              <w:rPr>
                <w:rFonts w:cstheme="minorHAnsi"/>
                <w:sz w:val="24"/>
                <w:szCs w:val="24"/>
              </w:rPr>
              <w:t>has a tendency to</w:t>
            </w:r>
            <w:proofErr w:type="gramEnd"/>
            <w:r w:rsidR="00880353" w:rsidRPr="00720707">
              <w:rPr>
                <w:rFonts w:cstheme="minorHAnsi"/>
                <w:sz w:val="24"/>
                <w:szCs w:val="24"/>
              </w:rPr>
              <w:t xml:space="preserve"> create a cognitive bias for linked professionals which can have an adverse effect on the patient’s future care. </w:t>
            </w:r>
          </w:p>
          <w:p w14:paraId="3CF6FDBA" w14:textId="45BE01CF" w:rsidR="00FA7F0B" w:rsidRPr="00720707" w:rsidRDefault="00FA7F0B" w:rsidP="00FB6C9A">
            <w:pPr>
              <w:spacing w:before="120" w:after="120" w:line="240" w:lineRule="auto"/>
              <w:rPr>
                <w:rFonts w:cstheme="minorHAnsi"/>
                <w:sz w:val="24"/>
                <w:szCs w:val="24"/>
              </w:rPr>
            </w:pPr>
            <w:r w:rsidRPr="00720707">
              <w:rPr>
                <w:rFonts w:cstheme="minorHAnsi"/>
                <w:sz w:val="24"/>
                <w:szCs w:val="24"/>
              </w:rPr>
              <w:lastRenderedPageBreak/>
              <w:t xml:space="preserve">This term was first used in relation to </w:t>
            </w:r>
            <w:r w:rsidR="00DF2AA7">
              <w:rPr>
                <w:rFonts w:cstheme="minorHAnsi"/>
                <w:sz w:val="24"/>
                <w:szCs w:val="24"/>
              </w:rPr>
              <w:t>David</w:t>
            </w:r>
            <w:r w:rsidRPr="00720707">
              <w:rPr>
                <w:rFonts w:cstheme="minorHAnsi"/>
                <w:sz w:val="24"/>
                <w:szCs w:val="24"/>
              </w:rPr>
              <w:t xml:space="preserve"> in 2017, before the period of this review. Reports during 2018 also suggested </w:t>
            </w:r>
            <w:r w:rsidR="00DF2AA7">
              <w:rPr>
                <w:rFonts w:cstheme="minorHAnsi"/>
                <w:sz w:val="24"/>
                <w:szCs w:val="24"/>
              </w:rPr>
              <w:t>David</w:t>
            </w:r>
            <w:r w:rsidRPr="00720707">
              <w:rPr>
                <w:rFonts w:cstheme="minorHAnsi"/>
                <w:sz w:val="24"/>
                <w:szCs w:val="24"/>
              </w:rPr>
              <w:t xml:space="preserve"> was feigning or exaggerating symptoms, without using the term specifically.</w:t>
            </w:r>
          </w:p>
          <w:p w14:paraId="6A70AA6D" w14:textId="45041D4E"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During the period of this review, </w:t>
            </w:r>
            <w:r w:rsidR="00DF2AA7">
              <w:rPr>
                <w:rFonts w:cstheme="minorHAnsi"/>
                <w:sz w:val="24"/>
                <w:szCs w:val="24"/>
              </w:rPr>
              <w:t>David</w:t>
            </w:r>
            <w:r w:rsidRPr="00720707">
              <w:rPr>
                <w:rFonts w:cstheme="minorHAnsi"/>
                <w:sz w:val="24"/>
                <w:szCs w:val="24"/>
              </w:rPr>
              <w:t xml:space="preserve"> was assessed to be malingering in January and February 2020, although strangely a SBUHB record at that time simultaneously assessed him as lacking capacity regarding his placement. It is difficult to reconcile conscious simulation of symptoms with a lack of capacity to make decisions regarding such a key element of a person’s life.</w:t>
            </w:r>
          </w:p>
          <w:p w14:paraId="7F46F9FA" w14:textId="14EEE257"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This was not considered again until the completion of the assessment at Kneesworth House Hospital at the end of 2020, when it was assessed that </w:t>
            </w:r>
            <w:r w:rsidR="00DF2AA7">
              <w:rPr>
                <w:rFonts w:cstheme="minorHAnsi"/>
                <w:sz w:val="24"/>
                <w:szCs w:val="24"/>
              </w:rPr>
              <w:t>David</w:t>
            </w:r>
            <w:r w:rsidRPr="00720707">
              <w:rPr>
                <w:rFonts w:cstheme="minorHAnsi"/>
                <w:sz w:val="24"/>
                <w:szCs w:val="24"/>
              </w:rPr>
              <w:t xml:space="preserve"> was not suffering from a ‘severe mental </w:t>
            </w:r>
            <w:proofErr w:type="gramStart"/>
            <w:r w:rsidRPr="00720707">
              <w:rPr>
                <w:rFonts w:cstheme="minorHAnsi"/>
                <w:sz w:val="24"/>
                <w:szCs w:val="24"/>
              </w:rPr>
              <w:t>illness’</w:t>
            </w:r>
            <w:proofErr w:type="gramEnd"/>
            <w:r w:rsidRPr="00720707">
              <w:rPr>
                <w:rFonts w:cstheme="minorHAnsi"/>
                <w:sz w:val="24"/>
                <w:szCs w:val="24"/>
              </w:rPr>
              <w:t xml:space="preserve">, but had probable cognitive impairment, and a neurological assessment was advised. The consultant at Kneesworth House in a telephone conference with HMP Parc staff, confirmed their view that </w:t>
            </w:r>
            <w:r w:rsidR="00DF2AA7">
              <w:rPr>
                <w:rFonts w:cstheme="minorHAnsi"/>
                <w:sz w:val="24"/>
                <w:szCs w:val="24"/>
              </w:rPr>
              <w:t>David</w:t>
            </w:r>
            <w:r w:rsidRPr="00720707">
              <w:rPr>
                <w:rFonts w:cstheme="minorHAnsi"/>
                <w:sz w:val="24"/>
                <w:szCs w:val="24"/>
              </w:rPr>
              <w:t xml:space="preserve"> was not malingering.</w:t>
            </w:r>
          </w:p>
          <w:p w14:paraId="60F0D89D" w14:textId="31FA9A1E"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Staff at the learning events which took place as part of this review commented on the pervasive nature of this terminology, and the risk of it undermining any consideration of genuine mental disorder, or mental distress, by labelling all actions and presentations as ‘behavioural’. They also felt that this definition remained with </w:t>
            </w:r>
            <w:r w:rsidR="00DF2AA7">
              <w:rPr>
                <w:rFonts w:cstheme="minorHAnsi"/>
                <w:sz w:val="24"/>
                <w:szCs w:val="24"/>
              </w:rPr>
              <w:t>David</w:t>
            </w:r>
            <w:r w:rsidRPr="00720707">
              <w:rPr>
                <w:rFonts w:cstheme="minorHAnsi"/>
                <w:sz w:val="24"/>
                <w:szCs w:val="24"/>
              </w:rPr>
              <w:t xml:space="preserve"> despite extremely disturbed and disturbing behaviour over a prolonged </w:t>
            </w:r>
            <w:proofErr w:type="gramStart"/>
            <w:r w:rsidRPr="00720707">
              <w:rPr>
                <w:rFonts w:cstheme="minorHAnsi"/>
                <w:sz w:val="24"/>
                <w:szCs w:val="24"/>
              </w:rPr>
              <w:t>period of time</w:t>
            </w:r>
            <w:proofErr w:type="gramEnd"/>
            <w:r w:rsidRPr="00720707">
              <w:rPr>
                <w:rFonts w:cstheme="minorHAnsi"/>
                <w:sz w:val="24"/>
                <w:szCs w:val="24"/>
              </w:rPr>
              <w:t xml:space="preserve"> while incarcerated in HMP Parc during 2020.</w:t>
            </w:r>
          </w:p>
          <w:p w14:paraId="12B2F55A"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It is the view of the reviewer that notwithstanding its presence in ICD-10, the use of this term risks ignoring the genuine emotional and/or psychological distress being experienced by individuals who are presenting with sometimes extremely challenging behaviour, by labelling it as a ‘choice’ made by the person.</w:t>
            </w:r>
          </w:p>
          <w:p w14:paraId="767B29E6"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This is not to deny the person’s individual responsibility for their behaviours, when relevant, but it reduces the opportunity to seek further understanding of why the person is exhibiting those behaviours, and what responses may help reduce their prevalence and severity.</w:t>
            </w:r>
          </w:p>
          <w:p w14:paraId="6E036333"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It is notable that a record in 2017 (which is out of scope of this review) combined the term ‘malingering’ with the comment ‘emotionally unstable and antisocial </w:t>
            </w:r>
            <w:proofErr w:type="gramStart"/>
            <w:r w:rsidRPr="00720707">
              <w:rPr>
                <w:rFonts w:cstheme="minorHAnsi"/>
                <w:sz w:val="24"/>
                <w:szCs w:val="24"/>
              </w:rPr>
              <w:t>traits’</w:t>
            </w:r>
            <w:proofErr w:type="gramEnd"/>
            <w:r w:rsidRPr="00720707">
              <w:rPr>
                <w:rFonts w:cstheme="minorHAnsi"/>
                <w:sz w:val="24"/>
                <w:szCs w:val="24"/>
              </w:rPr>
              <w:t xml:space="preserve">. This appears to be equating feigning of symptoms of a ‘severe mental illness’ (e.g. psychosis) with a different group of conditions which are also defined as mental disorders, namely personality disorders. Clearly the response and treatment options will be significantly different between these </w:t>
            </w:r>
            <w:proofErr w:type="gramStart"/>
            <w:r w:rsidRPr="00720707">
              <w:rPr>
                <w:rFonts w:cstheme="minorHAnsi"/>
                <w:sz w:val="24"/>
                <w:szCs w:val="24"/>
              </w:rPr>
              <w:t>conditions, but</w:t>
            </w:r>
            <w:proofErr w:type="gramEnd"/>
            <w:r w:rsidRPr="00720707">
              <w:rPr>
                <w:rFonts w:cstheme="minorHAnsi"/>
                <w:sz w:val="24"/>
                <w:szCs w:val="24"/>
              </w:rPr>
              <w:t xml:space="preserve"> labelling this presentation as ‘malingering’ risks ruling out any therapeutic response to the behaviours.</w:t>
            </w:r>
          </w:p>
          <w:p w14:paraId="1301851B" w14:textId="77777777" w:rsidR="00845A73" w:rsidRPr="00720707" w:rsidRDefault="00845A73" w:rsidP="00FB6C9A">
            <w:pPr>
              <w:spacing w:before="120" w:after="120" w:line="240" w:lineRule="auto"/>
              <w:rPr>
                <w:rFonts w:cstheme="minorHAnsi"/>
                <w:b/>
                <w:bCs/>
                <w:sz w:val="24"/>
                <w:szCs w:val="24"/>
                <w:u w:val="single"/>
              </w:rPr>
            </w:pPr>
            <w:r w:rsidRPr="00720707">
              <w:rPr>
                <w:rFonts w:cstheme="minorHAnsi"/>
                <w:b/>
                <w:bCs/>
                <w:sz w:val="24"/>
                <w:szCs w:val="24"/>
                <w:u w:val="single"/>
              </w:rPr>
              <w:t>Discharges from MHA detention in February 2020</w:t>
            </w:r>
          </w:p>
          <w:p w14:paraId="3C5C0DBD" w14:textId="23FB3ED3" w:rsidR="00845A73" w:rsidRPr="00720707" w:rsidRDefault="00DF2AA7" w:rsidP="00FB6C9A">
            <w:pPr>
              <w:spacing w:before="120" w:after="120" w:line="240" w:lineRule="auto"/>
              <w:rPr>
                <w:rFonts w:cstheme="minorHAnsi"/>
                <w:sz w:val="24"/>
                <w:szCs w:val="24"/>
              </w:rPr>
            </w:pPr>
            <w:r>
              <w:rPr>
                <w:rFonts w:cstheme="minorHAnsi"/>
                <w:sz w:val="24"/>
                <w:szCs w:val="24"/>
              </w:rPr>
              <w:t>David</w:t>
            </w:r>
            <w:r w:rsidR="00845A73" w:rsidRPr="00720707">
              <w:rPr>
                <w:rFonts w:cstheme="minorHAnsi"/>
                <w:sz w:val="24"/>
                <w:szCs w:val="24"/>
              </w:rPr>
              <w:t xml:space="preserve"> was assessed for possible detention under the MHA on </w:t>
            </w:r>
            <w:proofErr w:type="gramStart"/>
            <w:r w:rsidR="00845A73" w:rsidRPr="00720707">
              <w:rPr>
                <w:rFonts w:cstheme="minorHAnsi"/>
                <w:sz w:val="24"/>
                <w:szCs w:val="24"/>
              </w:rPr>
              <w:t>17</w:t>
            </w:r>
            <w:r w:rsidR="00845A73" w:rsidRPr="00720707">
              <w:rPr>
                <w:rFonts w:cstheme="minorHAnsi"/>
                <w:sz w:val="24"/>
                <w:szCs w:val="24"/>
                <w:vertAlign w:val="superscript"/>
              </w:rPr>
              <w:t>th</w:t>
            </w:r>
            <w:r w:rsidR="00845A73" w:rsidRPr="00720707">
              <w:rPr>
                <w:rFonts w:cstheme="minorHAnsi"/>
                <w:sz w:val="24"/>
                <w:szCs w:val="24"/>
              </w:rPr>
              <w:t xml:space="preserve"> February 2020, but</w:t>
            </w:r>
            <w:proofErr w:type="gramEnd"/>
            <w:r w:rsidR="00845A73" w:rsidRPr="00720707">
              <w:rPr>
                <w:rFonts w:cstheme="minorHAnsi"/>
                <w:sz w:val="24"/>
                <w:szCs w:val="24"/>
              </w:rPr>
              <w:t xml:space="preserve"> assessed not to require detention. He did however agree to an informal admission (without compulsion) to </w:t>
            </w:r>
            <w:proofErr w:type="spellStart"/>
            <w:r w:rsidR="00845A73" w:rsidRPr="00720707">
              <w:rPr>
                <w:rFonts w:cstheme="minorHAnsi"/>
                <w:sz w:val="24"/>
                <w:szCs w:val="24"/>
              </w:rPr>
              <w:t>Cefn</w:t>
            </w:r>
            <w:proofErr w:type="spellEnd"/>
            <w:r w:rsidR="00845A73" w:rsidRPr="00720707">
              <w:rPr>
                <w:rFonts w:cstheme="minorHAnsi"/>
                <w:sz w:val="24"/>
                <w:szCs w:val="24"/>
              </w:rPr>
              <w:t xml:space="preserve"> </w:t>
            </w:r>
            <w:proofErr w:type="spellStart"/>
            <w:r w:rsidR="00845A73" w:rsidRPr="00720707">
              <w:rPr>
                <w:rFonts w:cstheme="minorHAnsi"/>
                <w:sz w:val="24"/>
                <w:szCs w:val="24"/>
              </w:rPr>
              <w:t>Coed</w:t>
            </w:r>
            <w:proofErr w:type="spellEnd"/>
            <w:r w:rsidR="00845A73" w:rsidRPr="00720707">
              <w:rPr>
                <w:rFonts w:cstheme="minorHAnsi"/>
                <w:sz w:val="24"/>
                <w:szCs w:val="24"/>
              </w:rPr>
              <w:t xml:space="preserve"> Hospital on the same day. Due to his risk profile and residence at approved premises, it was agreed that if </w:t>
            </w:r>
            <w:r>
              <w:rPr>
                <w:rFonts w:cstheme="minorHAnsi"/>
                <w:sz w:val="24"/>
                <w:szCs w:val="24"/>
              </w:rPr>
              <w:t>David</w:t>
            </w:r>
            <w:r w:rsidR="00845A73" w:rsidRPr="00720707">
              <w:rPr>
                <w:rFonts w:cstheme="minorHAnsi"/>
                <w:sz w:val="24"/>
                <w:szCs w:val="24"/>
              </w:rPr>
              <w:t xml:space="preserve"> left the ward and did not return, the police and Public Protection Unit should be notified.</w:t>
            </w:r>
          </w:p>
          <w:p w14:paraId="3287D697" w14:textId="0E9204F5"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The following day, </w:t>
            </w:r>
            <w:r w:rsidR="00DF2AA7">
              <w:rPr>
                <w:rFonts w:cstheme="minorHAnsi"/>
                <w:sz w:val="24"/>
                <w:szCs w:val="24"/>
              </w:rPr>
              <w:t>David</w:t>
            </w:r>
            <w:r w:rsidRPr="00720707">
              <w:rPr>
                <w:rFonts w:cstheme="minorHAnsi"/>
                <w:sz w:val="24"/>
                <w:szCs w:val="24"/>
              </w:rPr>
              <w:t xml:space="preserve"> was placed on MHA section 5(2)</w:t>
            </w:r>
            <w:r w:rsidRPr="00F00ED5">
              <w:rPr>
                <w:rStyle w:val="FootnoteReference"/>
                <w:rFonts w:asciiTheme="minorHAnsi" w:hAnsiTheme="minorHAnsi" w:cstheme="minorHAnsi"/>
                <w:sz w:val="24"/>
                <w:szCs w:val="24"/>
                <w:vertAlign w:val="superscript"/>
              </w:rPr>
              <w:footnoteReference w:id="14"/>
            </w:r>
            <w:r w:rsidRPr="00720707">
              <w:rPr>
                <w:rFonts w:cstheme="minorHAnsi"/>
                <w:sz w:val="24"/>
                <w:szCs w:val="24"/>
              </w:rPr>
              <w:t xml:space="preserve"> and subsequently detained on MHA section 2. It was recorded that no signs of mental illness were identified while </w:t>
            </w:r>
            <w:r w:rsidR="00DF2AA7">
              <w:rPr>
                <w:rFonts w:cstheme="minorHAnsi"/>
                <w:sz w:val="24"/>
                <w:szCs w:val="24"/>
              </w:rPr>
              <w:t>David</w:t>
            </w:r>
            <w:r w:rsidRPr="00720707">
              <w:rPr>
                <w:rFonts w:cstheme="minorHAnsi"/>
                <w:sz w:val="24"/>
                <w:szCs w:val="24"/>
              </w:rPr>
              <w:t xml:space="preserve"> </w:t>
            </w:r>
            <w:r w:rsidRPr="00720707">
              <w:rPr>
                <w:rFonts w:cstheme="minorHAnsi"/>
                <w:sz w:val="24"/>
                <w:szCs w:val="24"/>
              </w:rPr>
              <w:lastRenderedPageBreak/>
              <w:t xml:space="preserve">was on the ward and he was discharged from section and hospital three days </w:t>
            </w:r>
            <w:proofErr w:type="gramStart"/>
            <w:r w:rsidRPr="00720707">
              <w:rPr>
                <w:rFonts w:cstheme="minorHAnsi"/>
                <w:sz w:val="24"/>
                <w:szCs w:val="24"/>
              </w:rPr>
              <w:t>later on</w:t>
            </w:r>
            <w:proofErr w:type="gramEnd"/>
            <w:r w:rsidRPr="00720707">
              <w:rPr>
                <w:rFonts w:cstheme="minorHAnsi"/>
                <w:sz w:val="24"/>
                <w:szCs w:val="24"/>
              </w:rPr>
              <w:t xml:space="preserve"> Sunday 21</w:t>
            </w:r>
            <w:r w:rsidRPr="00720707">
              <w:rPr>
                <w:rFonts w:cstheme="minorHAnsi"/>
                <w:sz w:val="24"/>
                <w:szCs w:val="24"/>
                <w:vertAlign w:val="superscript"/>
              </w:rPr>
              <w:t>st</w:t>
            </w:r>
            <w:r w:rsidRPr="00720707">
              <w:rPr>
                <w:rFonts w:cstheme="minorHAnsi"/>
                <w:sz w:val="24"/>
                <w:szCs w:val="24"/>
              </w:rPr>
              <w:t xml:space="preserve"> February. </w:t>
            </w:r>
            <w:r w:rsidR="00DF2AA7">
              <w:rPr>
                <w:rFonts w:cstheme="minorHAnsi"/>
                <w:sz w:val="24"/>
                <w:szCs w:val="24"/>
              </w:rPr>
              <w:t>David</w:t>
            </w:r>
            <w:r w:rsidRPr="00720707">
              <w:rPr>
                <w:rFonts w:cstheme="minorHAnsi"/>
                <w:sz w:val="24"/>
                <w:szCs w:val="24"/>
              </w:rPr>
              <w:t xml:space="preserve"> returned to the approved premises where he was resident.</w:t>
            </w:r>
          </w:p>
          <w:p w14:paraId="20402AE9" w14:textId="2D816D2E"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Just four days later, a social worker, CPN and probation officer attended the approved premises to further discuss hospital admission with </w:t>
            </w:r>
            <w:r w:rsidR="00DF2AA7">
              <w:rPr>
                <w:rFonts w:cstheme="minorHAnsi"/>
                <w:sz w:val="24"/>
                <w:szCs w:val="24"/>
              </w:rPr>
              <w:t>David</w:t>
            </w:r>
            <w:r w:rsidRPr="00720707">
              <w:rPr>
                <w:rFonts w:cstheme="minorHAnsi"/>
                <w:sz w:val="24"/>
                <w:szCs w:val="24"/>
              </w:rPr>
              <w:t xml:space="preserve">. A difference of professional opinion was recorded regarding </w:t>
            </w:r>
            <w:r w:rsidR="00DF2AA7">
              <w:rPr>
                <w:rFonts w:cstheme="minorHAnsi"/>
                <w:sz w:val="24"/>
                <w:szCs w:val="24"/>
              </w:rPr>
              <w:t>David</w:t>
            </w:r>
            <w:r w:rsidRPr="00720707">
              <w:rPr>
                <w:rFonts w:cstheme="minorHAnsi"/>
                <w:sz w:val="24"/>
                <w:szCs w:val="24"/>
              </w:rPr>
              <w:t xml:space="preserve">’s capacity to </w:t>
            </w:r>
            <w:proofErr w:type="gramStart"/>
            <w:r w:rsidRPr="00720707">
              <w:rPr>
                <w:rFonts w:cstheme="minorHAnsi"/>
                <w:sz w:val="24"/>
                <w:szCs w:val="24"/>
              </w:rPr>
              <w:t>make a decision</w:t>
            </w:r>
            <w:proofErr w:type="gramEnd"/>
            <w:r w:rsidRPr="00720707">
              <w:rPr>
                <w:rFonts w:cstheme="minorHAnsi"/>
                <w:sz w:val="24"/>
                <w:szCs w:val="24"/>
              </w:rPr>
              <w:t xml:space="preserve"> regarding admission. However, </w:t>
            </w:r>
            <w:r w:rsidR="00DF2AA7">
              <w:rPr>
                <w:rFonts w:cstheme="minorHAnsi"/>
                <w:sz w:val="24"/>
                <w:szCs w:val="24"/>
              </w:rPr>
              <w:t>David</w:t>
            </w:r>
            <w:r w:rsidRPr="00720707">
              <w:rPr>
                <w:rFonts w:cstheme="minorHAnsi"/>
                <w:sz w:val="24"/>
                <w:szCs w:val="24"/>
              </w:rPr>
              <w:t xml:space="preserve"> was taken to </w:t>
            </w:r>
            <w:proofErr w:type="spellStart"/>
            <w:r w:rsidRPr="00720707">
              <w:rPr>
                <w:rFonts w:cstheme="minorHAnsi"/>
                <w:sz w:val="24"/>
                <w:szCs w:val="24"/>
              </w:rPr>
              <w:t>Cefn</w:t>
            </w:r>
            <w:proofErr w:type="spellEnd"/>
            <w:r w:rsidRPr="00720707">
              <w:rPr>
                <w:rFonts w:cstheme="minorHAnsi"/>
                <w:sz w:val="24"/>
                <w:szCs w:val="24"/>
              </w:rPr>
              <w:t xml:space="preserve"> </w:t>
            </w:r>
            <w:proofErr w:type="spellStart"/>
            <w:r w:rsidRPr="00720707">
              <w:rPr>
                <w:rFonts w:cstheme="minorHAnsi"/>
                <w:sz w:val="24"/>
                <w:szCs w:val="24"/>
              </w:rPr>
              <w:t>Coed</w:t>
            </w:r>
            <w:proofErr w:type="spellEnd"/>
            <w:r w:rsidRPr="00720707">
              <w:rPr>
                <w:rFonts w:cstheme="minorHAnsi"/>
                <w:sz w:val="24"/>
                <w:szCs w:val="24"/>
              </w:rPr>
              <w:t xml:space="preserve"> Hospital </w:t>
            </w:r>
            <w:proofErr w:type="gramStart"/>
            <w:r w:rsidRPr="00720707">
              <w:rPr>
                <w:rFonts w:cstheme="minorHAnsi"/>
                <w:sz w:val="24"/>
                <w:szCs w:val="24"/>
              </w:rPr>
              <w:t>on the basis of</w:t>
            </w:r>
            <w:proofErr w:type="gramEnd"/>
            <w:r w:rsidRPr="00720707">
              <w:rPr>
                <w:rFonts w:cstheme="minorHAnsi"/>
                <w:sz w:val="24"/>
                <w:szCs w:val="24"/>
              </w:rPr>
              <w:t xml:space="preserve"> his capacitous </w:t>
            </w:r>
            <w:proofErr w:type="gramStart"/>
            <w:r w:rsidRPr="00720707">
              <w:rPr>
                <w:rFonts w:cstheme="minorHAnsi"/>
                <w:sz w:val="24"/>
                <w:szCs w:val="24"/>
              </w:rPr>
              <w:t>consent, and</w:t>
            </w:r>
            <w:proofErr w:type="gramEnd"/>
            <w:r w:rsidRPr="00720707">
              <w:rPr>
                <w:rFonts w:cstheme="minorHAnsi"/>
                <w:sz w:val="24"/>
                <w:szCs w:val="24"/>
              </w:rPr>
              <w:t xml:space="preserve"> again admitted informally.</w:t>
            </w:r>
          </w:p>
          <w:p w14:paraId="58BAEE21" w14:textId="77777777"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Probation recorded that </w:t>
            </w:r>
            <w:r w:rsidR="00FF24C5" w:rsidRPr="00720707">
              <w:rPr>
                <w:rFonts w:cstheme="minorHAnsi"/>
                <w:sz w:val="24"/>
                <w:szCs w:val="24"/>
              </w:rPr>
              <w:t>it was planned</w:t>
            </w:r>
            <w:r w:rsidRPr="00720707">
              <w:rPr>
                <w:rFonts w:cstheme="minorHAnsi"/>
                <w:sz w:val="24"/>
                <w:szCs w:val="24"/>
              </w:rPr>
              <w:t xml:space="preserve"> to keep him in hospital for four weeks to complete a thorough assessment involving psychologist, occupational therapist and doctor.</w:t>
            </w:r>
          </w:p>
          <w:p w14:paraId="164E5EC1" w14:textId="6F7BACC8"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Similarly to the previous week, MHA section 5(2) was initiated the following day and </w:t>
            </w:r>
            <w:r w:rsidR="00DF2AA7">
              <w:rPr>
                <w:rFonts w:cstheme="minorHAnsi"/>
                <w:sz w:val="24"/>
                <w:szCs w:val="24"/>
              </w:rPr>
              <w:t>David</w:t>
            </w:r>
            <w:r w:rsidRPr="00720707">
              <w:rPr>
                <w:rFonts w:cstheme="minorHAnsi"/>
                <w:sz w:val="24"/>
                <w:szCs w:val="24"/>
              </w:rPr>
              <w:t xml:space="preserve"> was subsequently detained again on MHA section 2. This allowed for a period of assessment of his mental health, possibly including treatment, for up to 28 days</w:t>
            </w:r>
            <w:r w:rsidR="002957B2">
              <w:rPr>
                <w:rFonts w:cstheme="minorHAnsi"/>
                <w:sz w:val="24"/>
                <w:szCs w:val="24"/>
              </w:rPr>
              <w:t>.</w:t>
            </w:r>
            <w:r w:rsidR="00FF24C5" w:rsidRPr="00720707">
              <w:rPr>
                <w:rFonts w:cstheme="minorHAnsi"/>
                <w:sz w:val="24"/>
                <w:szCs w:val="24"/>
              </w:rPr>
              <w:t xml:space="preserve"> At point of detention on MHA section 2 on 26</w:t>
            </w:r>
            <w:r w:rsidR="00FF24C5" w:rsidRPr="00720707">
              <w:rPr>
                <w:rFonts w:cstheme="minorHAnsi"/>
                <w:sz w:val="24"/>
                <w:szCs w:val="24"/>
                <w:vertAlign w:val="superscript"/>
              </w:rPr>
              <w:t>th</w:t>
            </w:r>
            <w:r w:rsidR="00FF24C5" w:rsidRPr="00720707">
              <w:rPr>
                <w:rFonts w:cstheme="minorHAnsi"/>
                <w:sz w:val="24"/>
                <w:szCs w:val="24"/>
              </w:rPr>
              <w:t xml:space="preserve"> February, </w:t>
            </w:r>
            <w:r w:rsidR="00DF2AA7">
              <w:rPr>
                <w:rFonts w:cstheme="minorHAnsi"/>
                <w:sz w:val="24"/>
                <w:szCs w:val="24"/>
              </w:rPr>
              <w:t>David</w:t>
            </w:r>
            <w:r w:rsidR="00FF24C5" w:rsidRPr="00720707">
              <w:rPr>
                <w:rFonts w:cstheme="minorHAnsi"/>
                <w:sz w:val="24"/>
                <w:szCs w:val="24"/>
              </w:rPr>
              <w:t xml:space="preserve"> presented as confused and disoriented.</w:t>
            </w:r>
          </w:p>
          <w:p w14:paraId="5795C1C4" w14:textId="01E42DF3"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Over the weekend period, </w:t>
            </w:r>
            <w:r w:rsidR="00DF2AA7">
              <w:rPr>
                <w:rFonts w:cstheme="minorHAnsi"/>
                <w:sz w:val="24"/>
                <w:szCs w:val="24"/>
              </w:rPr>
              <w:t>David</w:t>
            </w:r>
            <w:r w:rsidRPr="00720707">
              <w:rPr>
                <w:rFonts w:cstheme="minorHAnsi"/>
                <w:sz w:val="24"/>
                <w:szCs w:val="24"/>
              </w:rPr>
              <w:t xml:space="preserve"> committed four separate sexual offences against female staff in both the psychiatric ward and Morriston Hospital Accident and Emergency Department</w:t>
            </w:r>
            <w:r w:rsidR="00D967C1">
              <w:rPr>
                <w:rFonts w:cstheme="minorHAnsi"/>
                <w:sz w:val="24"/>
                <w:szCs w:val="24"/>
              </w:rPr>
              <w:t>.</w:t>
            </w:r>
          </w:p>
          <w:p w14:paraId="27376A20" w14:textId="77CB1835" w:rsidR="00845A73" w:rsidRPr="00720707" w:rsidRDefault="00845A73" w:rsidP="00FB6C9A">
            <w:pPr>
              <w:spacing w:before="120" w:after="120" w:line="240" w:lineRule="auto"/>
              <w:rPr>
                <w:rFonts w:cstheme="minorHAnsi"/>
                <w:sz w:val="24"/>
                <w:szCs w:val="24"/>
              </w:rPr>
            </w:pPr>
            <w:r w:rsidRPr="00720707">
              <w:rPr>
                <w:rFonts w:cstheme="minorHAnsi"/>
                <w:sz w:val="24"/>
                <w:szCs w:val="24"/>
              </w:rPr>
              <w:t>Two days later, on the following working day Monday 2</w:t>
            </w:r>
            <w:r w:rsidRPr="00720707">
              <w:rPr>
                <w:rFonts w:cstheme="minorHAnsi"/>
                <w:sz w:val="24"/>
                <w:szCs w:val="24"/>
                <w:vertAlign w:val="superscript"/>
              </w:rPr>
              <w:t>nd</w:t>
            </w:r>
            <w:r w:rsidRPr="00720707">
              <w:rPr>
                <w:rFonts w:cstheme="minorHAnsi"/>
                <w:sz w:val="24"/>
                <w:szCs w:val="24"/>
              </w:rPr>
              <w:t xml:space="preserve"> March, </w:t>
            </w:r>
            <w:r w:rsidR="00DF2AA7">
              <w:rPr>
                <w:rFonts w:cstheme="minorHAnsi"/>
                <w:sz w:val="24"/>
                <w:szCs w:val="24"/>
              </w:rPr>
              <w:t>David</w:t>
            </w:r>
            <w:r w:rsidRPr="00720707">
              <w:rPr>
                <w:rFonts w:cstheme="minorHAnsi"/>
                <w:sz w:val="24"/>
                <w:szCs w:val="24"/>
              </w:rPr>
              <w:t xml:space="preserve"> was discharged from section 2 and arrested for the offences. The consultant psychiatrist recorded that </w:t>
            </w:r>
            <w:r w:rsidR="00DF2AA7">
              <w:rPr>
                <w:rFonts w:cstheme="minorHAnsi"/>
                <w:sz w:val="24"/>
                <w:szCs w:val="24"/>
              </w:rPr>
              <w:t>David</w:t>
            </w:r>
            <w:r w:rsidRPr="00720707">
              <w:rPr>
                <w:rFonts w:cstheme="minorHAnsi"/>
                <w:sz w:val="24"/>
                <w:szCs w:val="24"/>
              </w:rPr>
              <w:t xml:space="preserve"> was not detainable with no psychiatric diagnosis and no evidence of mental illness. He went on to write a brief written note</w:t>
            </w:r>
            <w:r w:rsidR="00FF24C5" w:rsidRPr="00720707">
              <w:rPr>
                <w:rFonts w:cstheme="minorHAnsi"/>
                <w:sz w:val="24"/>
                <w:szCs w:val="24"/>
              </w:rPr>
              <w:t xml:space="preserve"> for the police,</w:t>
            </w:r>
            <w:r w:rsidRPr="00720707">
              <w:rPr>
                <w:rFonts w:cstheme="minorHAnsi"/>
                <w:sz w:val="24"/>
                <w:szCs w:val="24"/>
              </w:rPr>
              <w:t xml:space="preserve"> stating that</w:t>
            </w:r>
          </w:p>
          <w:p w14:paraId="13EF1303" w14:textId="73FE6736" w:rsidR="00845A73" w:rsidRPr="00720707" w:rsidRDefault="00845A73" w:rsidP="00FB6C9A">
            <w:pPr>
              <w:spacing w:before="120" w:after="120" w:line="240" w:lineRule="auto"/>
              <w:ind w:left="720"/>
              <w:rPr>
                <w:rFonts w:cstheme="minorHAnsi"/>
                <w:i/>
                <w:iCs/>
                <w:sz w:val="24"/>
                <w:szCs w:val="24"/>
              </w:rPr>
            </w:pPr>
            <w:r w:rsidRPr="00720707">
              <w:rPr>
                <w:rFonts w:cstheme="minorHAnsi"/>
                <w:i/>
                <w:iCs/>
                <w:sz w:val="24"/>
                <w:szCs w:val="24"/>
              </w:rPr>
              <w:t>“[</w:t>
            </w:r>
            <w:r w:rsidR="00DF2AA7" w:rsidRPr="00DF2AA7">
              <w:rPr>
                <w:rFonts w:cstheme="minorHAnsi"/>
                <w:i/>
                <w:iCs/>
                <w:sz w:val="24"/>
                <w:szCs w:val="24"/>
              </w:rPr>
              <w:t>David</w:t>
            </w:r>
            <w:r w:rsidRPr="00720707">
              <w:rPr>
                <w:rFonts w:cstheme="minorHAnsi"/>
                <w:i/>
                <w:iCs/>
                <w:sz w:val="24"/>
                <w:szCs w:val="24"/>
              </w:rPr>
              <w:t>] does not suffer a serious mental illness. He has capacity to k</w:t>
            </w:r>
            <w:r w:rsidR="00FF24C5" w:rsidRPr="00720707">
              <w:rPr>
                <w:rFonts w:cstheme="minorHAnsi"/>
                <w:i/>
                <w:iCs/>
                <w:sz w:val="24"/>
                <w:szCs w:val="24"/>
              </w:rPr>
              <w:t>n</w:t>
            </w:r>
            <w:r w:rsidRPr="00720707">
              <w:rPr>
                <w:rFonts w:cstheme="minorHAnsi"/>
                <w:i/>
                <w:iCs/>
                <w:sz w:val="24"/>
                <w:szCs w:val="24"/>
              </w:rPr>
              <w:t>ow what is right from wrong. He is fit to be interviewed by the police. He chooses [at] times not to engage. This is his choice.”</w:t>
            </w:r>
          </w:p>
          <w:p w14:paraId="55B91535" w14:textId="43C79F4B"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It is notable that both appropriate adult and duty solicitor at the police station felt that </w:t>
            </w:r>
            <w:r w:rsidR="00DF2AA7">
              <w:rPr>
                <w:rFonts w:cstheme="minorHAnsi"/>
                <w:sz w:val="24"/>
                <w:szCs w:val="24"/>
              </w:rPr>
              <w:t>David</w:t>
            </w:r>
            <w:r w:rsidRPr="00720707">
              <w:rPr>
                <w:rFonts w:cstheme="minorHAnsi"/>
                <w:sz w:val="24"/>
                <w:szCs w:val="24"/>
              </w:rPr>
              <w:t xml:space="preserve"> was not fit for interview. A mental health nurse was also alerted by the custody sergeant in relation to </w:t>
            </w:r>
            <w:r w:rsidR="00DF2AA7">
              <w:rPr>
                <w:rFonts w:cstheme="minorHAnsi"/>
                <w:sz w:val="24"/>
                <w:szCs w:val="24"/>
              </w:rPr>
              <w:t>David</w:t>
            </w:r>
            <w:r w:rsidRPr="00720707">
              <w:rPr>
                <w:rFonts w:cstheme="minorHAnsi"/>
                <w:sz w:val="24"/>
                <w:szCs w:val="24"/>
              </w:rPr>
              <w:t xml:space="preserve">’s bizarre presentation, including incoherent speech and disordered thoughts. However, when presented with the hand-written note by the consultant, agreed that diversion was not appropriate and </w:t>
            </w:r>
            <w:r w:rsidR="00DF2AA7">
              <w:rPr>
                <w:rFonts w:cstheme="minorHAnsi"/>
                <w:sz w:val="24"/>
                <w:szCs w:val="24"/>
              </w:rPr>
              <w:t>David</w:t>
            </w:r>
            <w:r w:rsidRPr="00720707">
              <w:rPr>
                <w:rFonts w:cstheme="minorHAnsi"/>
                <w:sz w:val="24"/>
                <w:szCs w:val="24"/>
              </w:rPr>
              <w:t xml:space="preserve"> should proceed down the criminal justice route.</w:t>
            </w:r>
          </w:p>
          <w:p w14:paraId="386F7828" w14:textId="40FA1CE9"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Given </w:t>
            </w:r>
            <w:r w:rsidR="00DF2AA7">
              <w:rPr>
                <w:rFonts w:cstheme="minorHAnsi"/>
                <w:sz w:val="24"/>
                <w:szCs w:val="24"/>
              </w:rPr>
              <w:t>David</w:t>
            </w:r>
            <w:r w:rsidRPr="00720707">
              <w:rPr>
                <w:rFonts w:cstheme="minorHAnsi"/>
                <w:sz w:val="24"/>
                <w:szCs w:val="24"/>
              </w:rPr>
              <w:t xml:space="preserve">’s history of bizarre and risk behaviours, it is reasonable to suggest that an open acute ward was unlikely to manage his presentation. Clearly the staff, particularly the female staff, were put at increased risk from his behaviour. However, an alternative would have been to explore a transfer to a more secure psychiatric provision (e.g. psychiatric intensive care unit – PICU) which would have provided greater safety for both staff and patient while enabling the completion of the assessment. </w:t>
            </w:r>
          </w:p>
          <w:p w14:paraId="27617192" w14:textId="23FC1B6F"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The reviewer questions the decision to discharge </w:t>
            </w:r>
            <w:r w:rsidR="00DF2AA7">
              <w:rPr>
                <w:rFonts w:cstheme="minorHAnsi"/>
                <w:sz w:val="24"/>
                <w:szCs w:val="24"/>
              </w:rPr>
              <w:t>David</w:t>
            </w:r>
            <w:r w:rsidRPr="00720707">
              <w:rPr>
                <w:rFonts w:cstheme="minorHAnsi"/>
                <w:sz w:val="24"/>
                <w:szCs w:val="24"/>
              </w:rPr>
              <w:t xml:space="preserve"> from detention and hospital, </w:t>
            </w:r>
            <w:proofErr w:type="gramStart"/>
            <w:r w:rsidRPr="00720707">
              <w:rPr>
                <w:rFonts w:cstheme="minorHAnsi"/>
                <w:sz w:val="24"/>
                <w:szCs w:val="24"/>
              </w:rPr>
              <w:t>in order to</w:t>
            </w:r>
            <w:proofErr w:type="gramEnd"/>
            <w:r w:rsidRPr="00720707">
              <w:rPr>
                <w:rFonts w:cstheme="minorHAnsi"/>
                <w:sz w:val="24"/>
                <w:szCs w:val="24"/>
              </w:rPr>
              <w:t xml:space="preserve"> send him down the criminal justice route, when a decision had been made just the previous week to undertake a full assessment of his mental health. </w:t>
            </w:r>
          </w:p>
          <w:p w14:paraId="604EBC1D" w14:textId="77777777" w:rsidR="00845A73" w:rsidRPr="00720707" w:rsidRDefault="00845A73" w:rsidP="00FB6C9A">
            <w:pPr>
              <w:widowControl w:val="0"/>
              <w:spacing w:before="120" w:after="120" w:line="240" w:lineRule="auto"/>
              <w:rPr>
                <w:rFonts w:eastAsia="Calibri" w:cstheme="minorHAnsi"/>
                <w:sz w:val="24"/>
                <w:szCs w:val="24"/>
                <w:lang w:val="en-US"/>
              </w:rPr>
            </w:pPr>
          </w:p>
          <w:p w14:paraId="479388B7" w14:textId="77777777" w:rsidR="00FA7F0B" w:rsidRPr="00720707" w:rsidRDefault="00FA7F0B" w:rsidP="00FB6C9A">
            <w:pPr>
              <w:spacing w:before="120" w:after="120" w:line="240" w:lineRule="auto"/>
              <w:rPr>
                <w:rFonts w:cstheme="minorHAnsi"/>
                <w:b/>
                <w:bCs/>
                <w:sz w:val="24"/>
                <w:szCs w:val="24"/>
                <w:u w:val="single"/>
              </w:rPr>
            </w:pPr>
            <w:r w:rsidRPr="00720707">
              <w:rPr>
                <w:rFonts w:cstheme="minorHAnsi"/>
                <w:b/>
                <w:bCs/>
                <w:sz w:val="24"/>
                <w:szCs w:val="24"/>
                <w:u w:val="single"/>
              </w:rPr>
              <w:t>Section 117 aftercare</w:t>
            </w:r>
          </w:p>
          <w:p w14:paraId="01F0A8B4"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The MHA places a duty on local authorities and local health boards to provide aftercare to all individuals who have been detained on specific long-term treatment sections of the Act. The qualifying sections </w:t>
            </w:r>
            <w:proofErr w:type="gramStart"/>
            <w:r w:rsidRPr="00720707">
              <w:rPr>
                <w:rFonts w:cstheme="minorHAnsi"/>
                <w:sz w:val="24"/>
                <w:szCs w:val="24"/>
              </w:rPr>
              <w:t>are:</w:t>
            </w:r>
            <w:proofErr w:type="gramEnd"/>
            <w:r w:rsidRPr="00720707">
              <w:rPr>
                <w:rFonts w:cstheme="minorHAnsi"/>
                <w:sz w:val="24"/>
                <w:szCs w:val="24"/>
              </w:rPr>
              <w:t xml:space="preserve"> sections 3, 37, 45A, 47 and 48. That duty continues until the </w:t>
            </w:r>
            <w:r w:rsidRPr="00720707">
              <w:rPr>
                <w:rFonts w:cstheme="minorHAnsi"/>
                <w:sz w:val="24"/>
                <w:szCs w:val="24"/>
              </w:rPr>
              <w:lastRenderedPageBreak/>
              <w:t>local authority and local health board are satisfied that the patient no longer needs such aftercare. The joint agreement to end aftercare should be recorded in the patient’s record and all relevant agencies and individuals should be notified</w:t>
            </w:r>
            <w:r w:rsidRPr="00F00ED5">
              <w:rPr>
                <w:rStyle w:val="FootnoteReference"/>
                <w:rFonts w:asciiTheme="minorHAnsi" w:hAnsiTheme="minorHAnsi" w:cstheme="minorHAnsi"/>
                <w:sz w:val="24"/>
                <w:szCs w:val="24"/>
                <w:vertAlign w:val="superscript"/>
              </w:rPr>
              <w:footnoteReference w:id="15"/>
            </w:r>
            <w:r w:rsidRPr="00720707">
              <w:rPr>
                <w:rFonts w:cstheme="minorHAnsi"/>
                <w:sz w:val="24"/>
                <w:szCs w:val="24"/>
              </w:rPr>
              <w:t>.</w:t>
            </w:r>
          </w:p>
          <w:p w14:paraId="0884BB2A" w14:textId="572BE8CE" w:rsidR="00FA7F0B" w:rsidRPr="00720707" w:rsidRDefault="00DF2AA7" w:rsidP="00FB6C9A">
            <w:pPr>
              <w:spacing w:before="120" w:after="120" w:line="240" w:lineRule="auto"/>
              <w:rPr>
                <w:rFonts w:cstheme="minorHAnsi"/>
                <w:sz w:val="24"/>
                <w:szCs w:val="24"/>
              </w:rPr>
            </w:pPr>
            <w:r>
              <w:rPr>
                <w:rFonts w:cstheme="minorHAnsi"/>
                <w:sz w:val="24"/>
                <w:szCs w:val="24"/>
              </w:rPr>
              <w:t>David</w:t>
            </w:r>
            <w:r w:rsidR="00FA7F0B" w:rsidRPr="00720707">
              <w:rPr>
                <w:rFonts w:cstheme="minorHAnsi"/>
                <w:sz w:val="24"/>
                <w:szCs w:val="24"/>
              </w:rPr>
              <w:t xml:space="preserve"> was detained on MHA s47 at Ty Cwm Rhondda in April 2017, and after transfer to </w:t>
            </w:r>
            <w:proofErr w:type="spellStart"/>
            <w:r w:rsidR="00FA7F0B" w:rsidRPr="00720707">
              <w:rPr>
                <w:rFonts w:cstheme="minorHAnsi"/>
                <w:sz w:val="24"/>
                <w:szCs w:val="24"/>
              </w:rPr>
              <w:t>Taith</w:t>
            </w:r>
            <w:proofErr w:type="spellEnd"/>
            <w:r w:rsidR="00FA7F0B" w:rsidRPr="00720707">
              <w:rPr>
                <w:rFonts w:cstheme="minorHAnsi"/>
                <w:sz w:val="24"/>
                <w:szCs w:val="24"/>
              </w:rPr>
              <w:t xml:space="preserve"> Newydd Hospital in May, remained under that section until his discharge to the community (his prison term had ended) in August 2017.</w:t>
            </w:r>
          </w:p>
          <w:p w14:paraId="670CEF75" w14:textId="77777777"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During his inpatient episode, there are several incidents of bizarre and sexualised behaviour, and indications of possible psychotic phenomena. However, the assessment of the care team and the treating psychiatrist was of malingering (see separate section on discussion of this terminology). In </w:t>
            </w:r>
            <w:proofErr w:type="gramStart"/>
            <w:r w:rsidRPr="00720707">
              <w:rPr>
                <w:rFonts w:cstheme="minorHAnsi"/>
                <w:sz w:val="24"/>
                <w:szCs w:val="24"/>
              </w:rPr>
              <w:t>addition</w:t>
            </w:r>
            <w:proofErr w:type="gramEnd"/>
            <w:r w:rsidRPr="00720707">
              <w:rPr>
                <w:rFonts w:cstheme="minorHAnsi"/>
                <w:sz w:val="24"/>
                <w:szCs w:val="24"/>
              </w:rPr>
              <w:t xml:space="preserve"> there were suggestions of various personality disorder diagnoses (borderline, anti-social traits)</w:t>
            </w:r>
          </w:p>
          <w:p w14:paraId="764B4AFC" w14:textId="6B54B25A" w:rsidR="00FA7F0B" w:rsidRPr="00720707" w:rsidRDefault="00DF2AA7" w:rsidP="00FB6C9A">
            <w:pPr>
              <w:spacing w:before="120" w:after="120" w:line="240" w:lineRule="auto"/>
              <w:rPr>
                <w:rFonts w:cstheme="minorHAnsi"/>
                <w:sz w:val="24"/>
                <w:szCs w:val="24"/>
              </w:rPr>
            </w:pPr>
            <w:r>
              <w:rPr>
                <w:rFonts w:cstheme="minorHAnsi"/>
                <w:sz w:val="24"/>
                <w:szCs w:val="24"/>
              </w:rPr>
              <w:t>David</w:t>
            </w:r>
            <w:r w:rsidR="00FA7F0B" w:rsidRPr="00720707">
              <w:rPr>
                <w:rFonts w:cstheme="minorHAnsi"/>
                <w:sz w:val="24"/>
                <w:szCs w:val="24"/>
              </w:rPr>
              <w:t xml:space="preserve"> was discharged to approved premises in Swansea, with the plan explicitly </w:t>
            </w:r>
            <w:proofErr w:type="gramStart"/>
            <w:r w:rsidR="00FA7F0B" w:rsidRPr="00720707">
              <w:rPr>
                <w:rFonts w:cstheme="minorHAnsi"/>
                <w:sz w:val="24"/>
                <w:szCs w:val="24"/>
              </w:rPr>
              <w:t>stating</w:t>
            </w:r>
            <w:proofErr w:type="gramEnd"/>
            <w:r w:rsidR="00FA7F0B" w:rsidRPr="00720707">
              <w:rPr>
                <w:rFonts w:cstheme="minorHAnsi"/>
                <w:sz w:val="24"/>
                <w:szCs w:val="24"/>
              </w:rPr>
              <w:t xml:space="preserve"> “no follow up from MH services” and “antisocial/borderline traits”. The record goes on to state that </w:t>
            </w:r>
            <w:r>
              <w:rPr>
                <w:rFonts w:cstheme="minorHAnsi"/>
                <w:sz w:val="24"/>
                <w:szCs w:val="24"/>
              </w:rPr>
              <w:t>David</w:t>
            </w:r>
            <w:r w:rsidR="00FA7F0B" w:rsidRPr="00720707">
              <w:rPr>
                <w:rFonts w:cstheme="minorHAnsi"/>
                <w:sz w:val="24"/>
                <w:szCs w:val="24"/>
              </w:rPr>
              <w:t xml:space="preserve"> had “no SMI</w:t>
            </w:r>
            <w:r w:rsidR="00FA7F0B" w:rsidRPr="00F00ED5">
              <w:rPr>
                <w:rStyle w:val="FootnoteReference"/>
                <w:rFonts w:asciiTheme="minorHAnsi" w:hAnsiTheme="minorHAnsi" w:cstheme="minorHAnsi"/>
                <w:sz w:val="24"/>
                <w:szCs w:val="24"/>
                <w:vertAlign w:val="superscript"/>
              </w:rPr>
              <w:footnoteReference w:id="16"/>
            </w:r>
            <w:r w:rsidR="00FA7F0B" w:rsidRPr="00720707">
              <w:rPr>
                <w:rFonts w:cstheme="minorHAnsi"/>
                <w:sz w:val="24"/>
                <w:szCs w:val="24"/>
              </w:rPr>
              <w:t xml:space="preserve"> and no mental health follow up”. The care coordinator was to “look at the process to discharge from 117 aftercare”.</w:t>
            </w:r>
          </w:p>
          <w:p w14:paraId="4188A141" w14:textId="78C4C97A"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However, there is no evidence of any discussion between the local authority and the local health board regarding discharge from s117 aftercare, and no record of </w:t>
            </w:r>
            <w:r w:rsidR="00DF2AA7">
              <w:rPr>
                <w:rFonts w:cstheme="minorHAnsi"/>
                <w:sz w:val="24"/>
                <w:szCs w:val="24"/>
              </w:rPr>
              <w:t>David</w:t>
            </w:r>
            <w:r w:rsidRPr="00720707">
              <w:rPr>
                <w:rFonts w:cstheme="minorHAnsi"/>
                <w:sz w:val="24"/>
                <w:szCs w:val="24"/>
              </w:rPr>
              <w:t>’s discharge from the same. It appears therefore that he was not discharged from s117 and the local authority and health board continued to hold an aftercare duty throughout the following period until his latest qualifying detention (s37) in February 2023.</w:t>
            </w:r>
          </w:p>
          <w:p w14:paraId="319F1042" w14:textId="2B378976" w:rsidR="00FA7F0B" w:rsidRPr="00720707" w:rsidRDefault="00FA7F0B" w:rsidP="00FB6C9A">
            <w:pPr>
              <w:spacing w:before="120" w:after="120" w:line="240" w:lineRule="auto"/>
              <w:rPr>
                <w:rFonts w:cstheme="minorHAnsi"/>
                <w:sz w:val="24"/>
                <w:szCs w:val="24"/>
              </w:rPr>
            </w:pPr>
            <w:r w:rsidRPr="00720707">
              <w:rPr>
                <w:rFonts w:cstheme="minorHAnsi"/>
                <w:sz w:val="24"/>
                <w:szCs w:val="24"/>
              </w:rPr>
              <w:t xml:space="preserve">Where that duty sat throws up further complexities. Section 117 responsibilities are determined where the person was ordinarily resident at the time of the relevant detention. The s47 order was made while </w:t>
            </w:r>
            <w:r w:rsidR="00DF2AA7">
              <w:rPr>
                <w:rFonts w:cstheme="minorHAnsi"/>
                <w:sz w:val="24"/>
                <w:szCs w:val="24"/>
              </w:rPr>
              <w:t>David</w:t>
            </w:r>
            <w:r w:rsidRPr="00720707">
              <w:rPr>
                <w:rFonts w:cstheme="minorHAnsi"/>
                <w:sz w:val="24"/>
                <w:szCs w:val="24"/>
              </w:rPr>
              <w:t xml:space="preserve"> was in HMP Cardiff, but a prison incarceration does not count as influencing a person’s ordinary residence. Section 117 aftercare will sit with the local authority and local health board where the person was ordinarily resident immediately before their imprisonment.</w:t>
            </w:r>
          </w:p>
          <w:p w14:paraId="3E3F7F0E" w14:textId="77777777" w:rsidR="00DD590A" w:rsidRPr="00720707" w:rsidRDefault="00DD590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
          <w:p w14:paraId="24FA1614" w14:textId="77777777" w:rsidR="00845A73" w:rsidRPr="00720707" w:rsidRDefault="00845A73" w:rsidP="00FB6C9A">
            <w:pPr>
              <w:spacing w:before="120" w:after="120" w:line="240" w:lineRule="auto"/>
              <w:rPr>
                <w:rFonts w:cstheme="minorHAnsi"/>
                <w:b/>
                <w:bCs/>
                <w:sz w:val="24"/>
                <w:szCs w:val="24"/>
                <w:u w:val="single"/>
              </w:rPr>
            </w:pPr>
            <w:r w:rsidRPr="00720707">
              <w:rPr>
                <w:rFonts w:cstheme="minorHAnsi"/>
                <w:b/>
                <w:bCs/>
                <w:sz w:val="24"/>
                <w:szCs w:val="24"/>
                <w:u w:val="single"/>
              </w:rPr>
              <w:t>The impact of the Covid-19 pandemic</w:t>
            </w:r>
          </w:p>
          <w:p w14:paraId="292DB683" w14:textId="25AFB101" w:rsidR="00845A73" w:rsidRPr="00720707" w:rsidRDefault="00DF2AA7" w:rsidP="00FB6C9A">
            <w:pPr>
              <w:spacing w:before="120" w:after="120" w:line="240" w:lineRule="auto"/>
              <w:rPr>
                <w:rFonts w:cstheme="minorHAnsi"/>
                <w:sz w:val="24"/>
                <w:szCs w:val="24"/>
              </w:rPr>
            </w:pPr>
            <w:r>
              <w:rPr>
                <w:rFonts w:cstheme="minorHAnsi"/>
                <w:sz w:val="24"/>
                <w:szCs w:val="24"/>
              </w:rPr>
              <w:t>David</w:t>
            </w:r>
            <w:r w:rsidR="00845A73" w:rsidRPr="00720707">
              <w:rPr>
                <w:rFonts w:cstheme="minorHAnsi"/>
                <w:sz w:val="24"/>
                <w:szCs w:val="24"/>
              </w:rPr>
              <w:t xml:space="preserve">’s remand to HMP Parc in March 2020 following his discharge from MHA section 2 and </w:t>
            </w:r>
            <w:proofErr w:type="spellStart"/>
            <w:r w:rsidR="00845A73" w:rsidRPr="00720707">
              <w:rPr>
                <w:rFonts w:cstheme="minorHAnsi"/>
                <w:sz w:val="24"/>
                <w:szCs w:val="24"/>
              </w:rPr>
              <w:t>Cefn</w:t>
            </w:r>
            <w:proofErr w:type="spellEnd"/>
            <w:r w:rsidR="00845A73" w:rsidRPr="00720707">
              <w:rPr>
                <w:rFonts w:cstheme="minorHAnsi"/>
                <w:sz w:val="24"/>
                <w:szCs w:val="24"/>
              </w:rPr>
              <w:t xml:space="preserve"> </w:t>
            </w:r>
            <w:proofErr w:type="spellStart"/>
            <w:r w:rsidR="00845A73" w:rsidRPr="00720707">
              <w:rPr>
                <w:rFonts w:cstheme="minorHAnsi"/>
                <w:sz w:val="24"/>
                <w:szCs w:val="24"/>
              </w:rPr>
              <w:t>Coed</w:t>
            </w:r>
            <w:proofErr w:type="spellEnd"/>
            <w:r w:rsidR="00845A73" w:rsidRPr="00720707">
              <w:rPr>
                <w:rFonts w:cstheme="minorHAnsi"/>
                <w:sz w:val="24"/>
                <w:szCs w:val="24"/>
              </w:rPr>
              <w:t xml:space="preserve"> Hospital coincided with the onset of the Covid-19 pandemic in Britain. The first national lockdown was initiated on 23</w:t>
            </w:r>
            <w:r w:rsidR="00845A73" w:rsidRPr="00720707">
              <w:rPr>
                <w:rFonts w:cstheme="minorHAnsi"/>
                <w:sz w:val="24"/>
                <w:szCs w:val="24"/>
                <w:vertAlign w:val="superscript"/>
              </w:rPr>
              <w:t>rd</w:t>
            </w:r>
            <w:r w:rsidR="00845A73" w:rsidRPr="00720707">
              <w:rPr>
                <w:rFonts w:cstheme="minorHAnsi"/>
                <w:sz w:val="24"/>
                <w:szCs w:val="24"/>
              </w:rPr>
              <w:t xml:space="preserve"> March 2020, less than three weeks after </w:t>
            </w:r>
            <w:r>
              <w:rPr>
                <w:rFonts w:cstheme="minorHAnsi"/>
                <w:sz w:val="24"/>
                <w:szCs w:val="24"/>
              </w:rPr>
              <w:t>David</w:t>
            </w:r>
            <w:r w:rsidR="00845A73" w:rsidRPr="00720707">
              <w:rPr>
                <w:rFonts w:cstheme="minorHAnsi"/>
                <w:sz w:val="24"/>
                <w:szCs w:val="24"/>
              </w:rPr>
              <w:t xml:space="preserve">’s remand to HMP Parc. </w:t>
            </w:r>
          </w:p>
          <w:p w14:paraId="59BF90BC" w14:textId="34AF60A1"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The lockdown effectively ended any direct input from Bridgend Social Services (SSD) into the prison, meaning that G4S staff were left to manage </w:t>
            </w:r>
            <w:r w:rsidR="00DF2AA7">
              <w:rPr>
                <w:rFonts w:cstheme="minorHAnsi"/>
                <w:sz w:val="24"/>
                <w:szCs w:val="24"/>
              </w:rPr>
              <w:t>David</w:t>
            </w:r>
            <w:r w:rsidRPr="00720707">
              <w:rPr>
                <w:rFonts w:cstheme="minorHAnsi"/>
                <w:sz w:val="24"/>
                <w:szCs w:val="24"/>
              </w:rPr>
              <w:t>’s care and support without any statutory service involvement.</w:t>
            </w:r>
          </w:p>
          <w:p w14:paraId="252071A3" w14:textId="77777777"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The case was closed to Bridgend Social Services at the date of the first lockdown in </w:t>
            </w:r>
            <w:proofErr w:type="gramStart"/>
            <w:r w:rsidRPr="00720707">
              <w:rPr>
                <w:rFonts w:cstheme="minorHAnsi"/>
                <w:sz w:val="24"/>
                <w:szCs w:val="24"/>
              </w:rPr>
              <w:t>March, but</w:t>
            </w:r>
            <w:proofErr w:type="gramEnd"/>
            <w:r w:rsidRPr="00720707">
              <w:rPr>
                <w:rFonts w:cstheme="minorHAnsi"/>
                <w:sz w:val="24"/>
                <w:szCs w:val="24"/>
              </w:rPr>
              <w:t xml:space="preserve"> reopened in May. Social Services continued to have no access to G4S notes or electronic systems, and a case conference was cancelled due to non-attendance.</w:t>
            </w:r>
          </w:p>
          <w:p w14:paraId="68B43EEC" w14:textId="16B013CB" w:rsidR="00845A73" w:rsidRPr="00720707" w:rsidRDefault="00DF2AA7" w:rsidP="00FB6C9A">
            <w:pPr>
              <w:spacing w:before="120" w:after="120" w:line="240" w:lineRule="auto"/>
              <w:rPr>
                <w:rFonts w:cstheme="minorHAnsi"/>
                <w:sz w:val="24"/>
                <w:szCs w:val="24"/>
              </w:rPr>
            </w:pPr>
            <w:r>
              <w:rPr>
                <w:rFonts w:cstheme="minorHAnsi"/>
                <w:sz w:val="24"/>
                <w:szCs w:val="24"/>
              </w:rPr>
              <w:t>David</w:t>
            </w:r>
            <w:r w:rsidR="00845A73" w:rsidRPr="00720707">
              <w:rPr>
                <w:rFonts w:cstheme="minorHAnsi"/>
                <w:sz w:val="24"/>
                <w:szCs w:val="24"/>
              </w:rPr>
              <w:t xml:space="preserve"> was seen by the Complex Needs Support Worker at HMP Parc, but in the initial period of the lockdown, even that contact was suspended. The Complex Needs Support Worker only started to see </w:t>
            </w:r>
            <w:r>
              <w:rPr>
                <w:rFonts w:cstheme="minorHAnsi"/>
                <w:sz w:val="24"/>
                <w:szCs w:val="24"/>
              </w:rPr>
              <w:t>David</w:t>
            </w:r>
            <w:r w:rsidR="00845A73" w:rsidRPr="00720707">
              <w:rPr>
                <w:rFonts w:cstheme="minorHAnsi"/>
                <w:sz w:val="24"/>
                <w:szCs w:val="24"/>
              </w:rPr>
              <w:t xml:space="preserve"> in early May, six weeks into the lockdown, and by that </w:t>
            </w:r>
            <w:r w:rsidR="00845A73" w:rsidRPr="00720707">
              <w:rPr>
                <w:rFonts w:cstheme="minorHAnsi"/>
                <w:sz w:val="24"/>
                <w:szCs w:val="24"/>
              </w:rPr>
              <w:lastRenderedPageBreak/>
              <w:t xml:space="preserve">time, </w:t>
            </w:r>
            <w:r>
              <w:rPr>
                <w:rFonts w:cstheme="minorHAnsi"/>
                <w:sz w:val="24"/>
                <w:szCs w:val="24"/>
              </w:rPr>
              <w:t>David</w:t>
            </w:r>
            <w:r w:rsidR="00845A73" w:rsidRPr="00720707">
              <w:rPr>
                <w:rFonts w:cstheme="minorHAnsi"/>
                <w:sz w:val="24"/>
                <w:szCs w:val="24"/>
              </w:rPr>
              <w:t xml:space="preserve">’s cell was covered in urine, he was wearing urine-soaked clothes and refusing medication. The prison mental health team were seeing </w:t>
            </w:r>
            <w:r>
              <w:rPr>
                <w:rFonts w:cstheme="minorHAnsi"/>
                <w:sz w:val="24"/>
                <w:szCs w:val="24"/>
              </w:rPr>
              <w:t>David</w:t>
            </w:r>
            <w:r w:rsidR="00845A73" w:rsidRPr="00720707">
              <w:rPr>
                <w:rFonts w:cstheme="minorHAnsi"/>
                <w:sz w:val="24"/>
                <w:szCs w:val="24"/>
              </w:rPr>
              <w:t xml:space="preserve"> weekly during this time.</w:t>
            </w:r>
          </w:p>
          <w:p w14:paraId="65DED33A" w14:textId="423A9357" w:rsidR="00845A73" w:rsidRPr="00720707" w:rsidRDefault="00845A73" w:rsidP="00FB6C9A">
            <w:pPr>
              <w:spacing w:before="120" w:after="120" w:line="240" w:lineRule="auto"/>
              <w:rPr>
                <w:rFonts w:cstheme="minorHAnsi"/>
                <w:sz w:val="24"/>
                <w:szCs w:val="24"/>
              </w:rPr>
            </w:pPr>
            <w:r w:rsidRPr="00720707">
              <w:rPr>
                <w:rFonts w:cstheme="minorHAnsi"/>
                <w:sz w:val="24"/>
                <w:szCs w:val="24"/>
              </w:rPr>
              <w:t xml:space="preserve">Notwithstanding the major difficulties caused by the lockdown, ongoing email communication took place between Bridgend SSD and HMP Parc in attempts to provide support to </w:t>
            </w:r>
            <w:r w:rsidR="00DF2AA7">
              <w:rPr>
                <w:rFonts w:cstheme="minorHAnsi"/>
                <w:sz w:val="24"/>
                <w:szCs w:val="24"/>
              </w:rPr>
              <w:t>David</w:t>
            </w:r>
            <w:r w:rsidRPr="00720707">
              <w:rPr>
                <w:rFonts w:cstheme="minorHAnsi"/>
                <w:sz w:val="24"/>
                <w:szCs w:val="24"/>
              </w:rPr>
              <w:t xml:space="preserve">, and Bridgend SSD commissioned two care visits per day to him to attempt to address his needs. This also involved discussions regarding </w:t>
            </w:r>
            <w:r w:rsidR="00DF2AA7">
              <w:rPr>
                <w:rFonts w:cstheme="minorHAnsi"/>
                <w:sz w:val="24"/>
                <w:szCs w:val="24"/>
              </w:rPr>
              <w:t>David</w:t>
            </w:r>
            <w:r w:rsidRPr="00720707">
              <w:rPr>
                <w:rFonts w:cstheme="minorHAnsi"/>
                <w:sz w:val="24"/>
                <w:szCs w:val="24"/>
              </w:rPr>
              <w:t>’s unpredictable violence and the possibility that two calls per day were overstimulating him.</w:t>
            </w:r>
          </w:p>
          <w:p w14:paraId="305A3CB3" w14:textId="01B5682A" w:rsidR="00845A73" w:rsidRPr="00720707" w:rsidRDefault="00845A73" w:rsidP="00FB6C9A">
            <w:pPr>
              <w:spacing w:before="120" w:after="120" w:line="240" w:lineRule="auto"/>
              <w:rPr>
                <w:rFonts w:cstheme="minorHAnsi"/>
                <w:sz w:val="24"/>
                <w:szCs w:val="24"/>
              </w:rPr>
            </w:pPr>
            <w:r w:rsidRPr="00720707">
              <w:rPr>
                <w:rFonts w:cstheme="minorHAnsi"/>
                <w:sz w:val="24"/>
                <w:szCs w:val="24"/>
              </w:rPr>
              <w:t>Overall, significant efforts appear to have been made to maintain communication and keep the care plan reviewed and update</w:t>
            </w:r>
            <w:r w:rsidR="00E76CE3">
              <w:rPr>
                <w:rFonts w:cstheme="minorHAnsi"/>
                <w:sz w:val="24"/>
                <w:szCs w:val="24"/>
              </w:rPr>
              <w:t>d</w:t>
            </w:r>
            <w:r w:rsidRPr="00720707">
              <w:rPr>
                <w:rFonts w:cstheme="minorHAnsi"/>
                <w:sz w:val="24"/>
                <w:szCs w:val="24"/>
              </w:rPr>
              <w:t>, in the context of the problems caused by the pandemic.</w:t>
            </w:r>
          </w:p>
          <w:p w14:paraId="10D776B2" w14:textId="77777777" w:rsidR="00845A73" w:rsidRPr="00720707" w:rsidRDefault="00845A73"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
          <w:p w14:paraId="34F15212" w14:textId="77777777" w:rsidR="00FB6C9A" w:rsidRPr="00720707" w:rsidRDefault="00FB6C9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b/>
                <w:bCs/>
                <w:sz w:val="24"/>
                <w:szCs w:val="24"/>
                <w:u w:val="single"/>
                <w:lang w:val="en-US"/>
              </w:rPr>
            </w:pPr>
            <w:r w:rsidRPr="00720707">
              <w:rPr>
                <w:rFonts w:eastAsia="Calibri" w:cstheme="minorHAnsi"/>
                <w:b/>
                <w:bCs/>
                <w:sz w:val="24"/>
                <w:szCs w:val="24"/>
                <w:u w:val="single"/>
                <w:lang w:val="en-US"/>
              </w:rPr>
              <w:t>Staff health and safety</w:t>
            </w:r>
          </w:p>
          <w:p w14:paraId="28E65A5A" w14:textId="3757021A" w:rsidR="005154E3" w:rsidRPr="00720707" w:rsidRDefault="00FB6C9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In addition to his disturbed and disturbing behaviour, </w:t>
            </w:r>
            <w:r w:rsidR="00DF2AA7">
              <w:rPr>
                <w:rFonts w:cstheme="minorHAnsi"/>
                <w:sz w:val="24"/>
                <w:szCs w:val="24"/>
              </w:rPr>
              <w:t>David</w:t>
            </w:r>
            <w:r w:rsidRPr="00720707">
              <w:rPr>
                <w:rFonts w:eastAsia="Calibri" w:cstheme="minorHAnsi"/>
                <w:sz w:val="24"/>
                <w:szCs w:val="24"/>
                <w:lang w:val="en-US"/>
              </w:rPr>
              <w:t xml:space="preserve"> posed a significant risk to staff in all agencies while offering treatment, care and support. These</w:t>
            </w:r>
            <w:r w:rsidR="005154E3" w:rsidRPr="00720707">
              <w:rPr>
                <w:rFonts w:eastAsia="Calibri" w:cstheme="minorHAnsi"/>
                <w:sz w:val="24"/>
                <w:szCs w:val="24"/>
                <w:lang w:val="en-US"/>
              </w:rPr>
              <w:t xml:space="preserve"> included direct</w:t>
            </w:r>
            <w:r w:rsidRPr="00720707">
              <w:rPr>
                <w:rFonts w:eastAsia="Calibri" w:cstheme="minorHAnsi"/>
                <w:sz w:val="24"/>
                <w:szCs w:val="24"/>
                <w:lang w:val="en-US"/>
              </w:rPr>
              <w:t xml:space="preserve"> risks </w:t>
            </w:r>
            <w:r w:rsidR="005154E3" w:rsidRPr="00720707">
              <w:rPr>
                <w:rFonts w:eastAsia="Calibri" w:cstheme="minorHAnsi"/>
                <w:sz w:val="24"/>
                <w:szCs w:val="24"/>
                <w:lang w:val="en-US"/>
              </w:rPr>
              <w:t>such as</w:t>
            </w:r>
            <w:r w:rsidRPr="00720707">
              <w:rPr>
                <w:rFonts w:eastAsia="Calibri" w:cstheme="minorHAnsi"/>
                <w:sz w:val="24"/>
                <w:szCs w:val="24"/>
                <w:lang w:val="en-US"/>
              </w:rPr>
              <w:t xml:space="preserve"> physical </w:t>
            </w:r>
            <w:r w:rsidR="005154E3" w:rsidRPr="00720707">
              <w:rPr>
                <w:rFonts w:eastAsia="Calibri" w:cstheme="minorHAnsi"/>
                <w:sz w:val="24"/>
                <w:szCs w:val="24"/>
                <w:lang w:val="en-US"/>
              </w:rPr>
              <w:t xml:space="preserve">violence </w:t>
            </w:r>
            <w:r w:rsidRPr="00720707">
              <w:rPr>
                <w:rFonts w:eastAsia="Calibri" w:cstheme="minorHAnsi"/>
                <w:sz w:val="24"/>
                <w:szCs w:val="24"/>
                <w:lang w:val="en-US"/>
              </w:rPr>
              <w:t xml:space="preserve">and sexual </w:t>
            </w:r>
            <w:r w:rsidR="005154E3" w:rsidRPr="00720707">
              <w:rPr>
                <w:rFonts w:eastAsia="Calibri" w:cstheme="minorHAnsi"/>
                <w:sz w:val="24"/>
                <w:szCs w:val="24"/>
                <w:lang w:val="en-US"/>
              </w:rPr>
              <w:t>offending, and indirect risks such as the infection risks inherent in managing his support in an environment of extreme neglect and unsanitary surroundings.</w:t>
            </w:r>
          </w:p>
          <w:p w14:paraId="2824F20F" w14:textId="1B65AAC7" w:rsidR="005154E3" w:rsidRDefault="00DF2A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Pr>
                <w:rFonts w:cstheme="minorHAnsi"/>
                <w:sz w:val="24"/>
                <w:szCs w:val="24"/>
              </w:rPr>
              <w:t>David</w:t>
            </w:r>
            <w:r w:rsidR="005154E3" w:rsidRPr="00720707">
              <w:rPr>
                <w:rFonts w:eastAsia="Calibri" w:cstheme="minorHAnsi"/>
                <w:sz w:val="24"/>
                <w:szCs w:val="24"/>
                <w:lang w:val="en-US"/>
              </w:rPr>
              <w:t xml:space="preserve">’s offending behaviour, both physical and sexual, was unpredictable and without any identifiable triggers. Female staff were </w:t>
            </w:r>
            <w:r w:rsidR="005154E3" w:rsidRPr="007D1B7B">
              <w:rPr>
                <w:rFonts w:eastAsia="Calibri" w:cstheme="minorHAnsi"/>
                <w:sz w:val="24"/>
                <w:szCs w:val="24"/>
                <w:lang w:val="en-US"/>
              </w:rPr>
              <w:t>p</w:t>
            </w:r>
            <w:r w:rsidR="007D1B7B" w:rsidRPr="007D1B7B">
              <w:rPr>
                <w:rFonts w:eastAsia="Calibri" w:cstheme="minorHAnsi"/>
                <w:sz w:val="24"/>
                <w:szCs w:val="24"/>
                <w:lang w:val="en-US"/>
              </w:rPr>
              <w:t>articularly at risk from his sexually inappropriate behaviour</w:t>
            </w:r>
            <w:r w:rsidR="005154E3" w:rsidRPr="00720707">
              <w:rPr>
                <w:rFonts w:eastAsia="Calibri" w:cstheme="minorHAnsi"/>
                <w:sz w:val="24"/>
                <w:szCs w:val="24"/>
                <w:lang w:val="en-US"/>
              </w:rPr>
              <w:t>, and male staff were more at risk from physical aggression.</w:t>
            </w:r>
          </w:p>
          <w:p w14:paraId="2C66E83E" w14:textId="3491B57E" w:rsidR="000C7DA6" w:rsidRPr="00720707" w:rsidRDefault="00DF2A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Pr>
                <w:rFonts w:cstheme="minorHAnsi"/>
                <w:sz w:val="24"/>
                <w:szCs w:val="24"/>
              </w:rPr>
              <w:t>David</w:t>
            </w:r>
            <w:r w:rsidR="00FF24C5" w:rsidRPr="00720707">
              <w:rPr>
                <w:rFonts w:eastAsia="Calibri" w:cstheme="minorHAnsi"/>
                <w:sz w:val="24"/>
                <w:szCs w:val="24"/>
                <w:lang w:val="en-US"/>
              </w:rPr>
              <w:t xml:space="preserve"> had a history of sexual offending </w:t>
            </w:r>
            <w:r w:rsidR="000C7DA6" w:rsidRPr="00720707">
              <w:rPr>
                <w:rFonts w:eastAsia="Calibri" w:cstheme="minorHAnsi"/>
                <w:sz w:val="24"/>
                <w:szCs w:val="24"/>
                <w:lang w:val="en-US"/>
              </w:rPr>
              <w:t>which pre-dates the period of this review. During the period of the review, various attempts were made to manage the risk and ensure the safety of the staff working with him, and the public.</w:t>
            </w:r>
          </w:p>
          <w:p w14:paraId="02E84E3F" w14:textId="0E6CF09C" w:rsidR="000C7DA6" w:rsidRPr="003628B1" w:rsidRDefault="00DF2A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Pr>
                <w:rFonts w:cstheme="minorHAnsi"/>
                <w:sz w:val="24"/>
                <w:szCs w:val="24"/>
              </w:rPr>
              <w:t>David</w:t>
            </w:r>
            <w:r w:rsidR="000C7DA6" w:rsidRPr="00720707">
              <w:rPr>
                <w:rFonts w:eastAsia="Calibri" w:cstheme="minorHAnsi"/>
                <w:sz w:val="24"/>
                <w:szCs w:val="24"/>
                <w:lang w:val="en-US"/>
              </w:rPr>
              <w:t xml:space="preserve"> was allocated a female probation officer at the start of the period of the review, but a decision was made in November 2019 to reallocate a male PO </w:t>
            </w:r>
            <w:proofErr w:type="gramStart"/>
            <w:r w:rsidR="000C7DA6" w:rsidRPr="00720707">
              <w:rPr>
                <w:rFonts w:eastAsia="Calibri" w:cstheme="minorHAnsi"/>
                <w:sz w:val="24"/>
                <w:szCs w:val="24"/>
                <w:lang w:val="en-US"/>
              </w:rPr>
              <w:t>as a result of</w:t>
            </w:r>
            <w:proofErr w:type="gramEnd"/>
            <w:r w:rsidR="000C7DA6" w:rsidRPr="00720707">
              <w:rPr>
                <w:rFonts w:eastAsia="Calibri" w:cstheme="minorHAnsi"/>
                <w:sz w:val="24"/>
                <w:szCs w:val="24"/>
                <w:lang w:val="en-US"/>
              </w:rPr>
              <w:t xml:space="preserve"> his sexually inappropriate behaviour. The risk register was updated to reflect that the case should not be lone </w:t>
            </w:r>
            <w:r w:rsidR="000C7DA6" w:rsidRPr="003628B1">
              <w:rPr>
                <w:rFonts w:eastAsia="Calibri" w:cstheme="minorHAnsi"/>
                <w:sz w:val="24"/>
                <w:szCs w:val="24"/>
                <w:lang w:val="en-US"/>
              </w:rPr>
              <w:t xml:space="preserve">worked by a female under any </w:t>
            </w:r>
            <w:r w:rsidR="0068799C" w:rsidRPr="003628B1">
              <w:rPr>
                <w:rFonts w:eastAsia="Calibri" w:cstheme="minorHAnsi"/>
                <w:sz w:val="24"/>
                <w:szCs w:val="24"/>
                <w:lang w:val="en-US"/>
              </w:rPr>
              <w:t>circumstances</w:t>
            </w:r>
            <w:r w:rsidR="000C7DA6" w:rsidRPr="003628B1">
              <w:rPr>
                <w:rFonts w:eastAsia="Calibri" w:cstheme="minorHAnsi"/>
                <w:sz w:val="24"/>
                <w:szCs w:val="24"/>
                <w:lang w:val="en-US"/>
              </w:rPr>
              <w:t>.</w:t>
            </w:r>
          </w:p>
          <w:p w14:paraId="250E7173" w14:textId="77777777" w:rsidR="000C7DA6" w:rsidRPr="003628B1" w:rsidRDefault="000C7DA6"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3628B1">
              <w:rPr>
                <w:rFonts w:eastAsia="Calibri" w:cstheme="minorHAnsi"/>
                <w:sz w:val="24"/>
                <w:szCs w:val="24"/>
                <w:lang w:val="en-US"/>
              </w:rPr>
              <w:t>While at the approved premises, a decision was made to inform the police at any time he left the premises, such was concern about his sexualized behaviour.</w:t>
            </w:r>
          </w:p>
          <w:p w14:paraId="362302DA" w14:textId="22208004" w:rsidR="000C7DA6" w:rsidRPr="003628B1" w:rsidRDefault="000C7DA6"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3628B1">
              <w:rPr>
                <w:rFonts w:eastAsia="Calibri" w:cstheme="minorHAnsi"/>
                <w:sz w:val="24"/>
                <w:szCs w:val="24"/>
                <w:lang w:val="en-US"/>
              </w:rPr>
              <w:t xml:space="preserve">During </w:t>
            </w:r>
            <w:r w:rsidR="00DF2AA7">
              <w:rPr>
                <w:rFonts w:cstheme="minorHAnsi"/>
                <w:sz w:val="24"/>
                <w:szCs w:val="24"/>
              </w:rPr>
              <w:t>David</w:t>
            </w:r>
            <w:r w:rsidRPr="003628B1">
              <w:rPr>
                <w:rFonts w:eastAsia="Calibri" w:cstheme="minorHAnsi"/>
                <w:sz w:val="24"/>
                <w:szCs w:val="24"/>
                <w:lang w:val="en-US"/>
              </w:rPr>
              <w:t>’s second admission to Cefn Coed Hospital in February 2020, he committed four sexual offences against female staff from both the psychiatric hospital and the A&amp;E department of Morriston Hospital.</w:t>
            </w:r>
          </w:p>
          <w:p w14:paraId="42C29125" w14:textId="45A8B45C" w:rsidR="00D967C1" w:rsidRPr="003628B1" w:rsidRDefault="00D967C1"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rPr>
            </w:pPr>
            <w:r w:rsidRPr="003628B1">
              <w:rPr>
                <w:rFonts w:eastAsia="Calibri" w:cstheme="minorHAnsi"/>
                <w:sz w:val="24"/>
                <w:szCs w:val="24"/>
                <w:lang w:val="en-US"/>
              </w:rPr>
              <w:t xml:space="preserve">It is </w:t>
            </w:r>
            <w:r w:rsidRPr="003628B1">
              <w:rPr>
                <w:rFonts w:eastAsia="Calibri" w:cstheme="minorHAnsi"/>
                <w:sz w:val="24"/>
                <w:szCs w:val="24"/>
              </w:rPr>
              <w:t>recognised</w:t>
            </w:r>
            <w:r w:rsidRPr="003628B1">
              <w:rPr>
                <w:rFonts w:eastAsia="Calibri" w:cstheme="minorHAnsi"/>
                <w:sz w:val="24"/>
                <w:szCs w:val="24"/>
                <w:lang w:val="en-US"/>
              </w:rPr>
              <w:t xml:space="preserve"> that two male members of staff escorted </w:t>
            </w:r>
            <w:r w:rsidR="00DF2AA7">
              <w:rPr>
                <w:rFonts w:cstheme="minorHAnsi"/>
                <w:sz w:val="24"/>
                <w:szCs w:val="24"/>
              </w:rPr>
              <w:t>David</w:t>
            </w:r>
            <w:r w:rsidRPr="003628B1">
              <w:rPr>
                <w:rFonts w:eastAsia="Calibri" w:cstheme="minorHAnsi"/>
                <w:sz w:val="24"/>
                <w:szCs w:val="24"/>
                <w:lang w:val="en-US"/>
              </w:rPr>
              <w:t xml:space="preserve"> to, from and duri</w:t>
            </w:r>
            <w:r w:rsidR="00450FC5" w:rsidRPr="003628B1">
              <w:rPr>
                <w:rFonts w:eastAsia="Calibri" w:cstheme="minorHAnsi"/>
                <w:sz w:val="24"/>
                <w:szCs w:val="24"/>
                <w:lang w:val="en-US"/>
              </w:rPr>
              <w:t>n</w:t>
            </w:r>
            <w:r w:rsidRPr="003628B1">
              <w:rPr>
                <w:rFonts w:eastAsia="Calibri" w:cstheme="minorHAnsi"/>
                <w:sz w:val="24"/>
                <w:szCs w:val="24"/>
                <w:lang w:val="en-US"/>
              </w:rPr>
              <w:t xml:space="preserve">g this hospital visit, and the report acknowledges the considerable difficulties in containment of an individual during a visit to a general hospital A&amp;E department. Despite these attempts to manage </w:t>
            </w:r>
            <w:r w:rsidR="00DF2AA7">
              <w:rPr>
                <w:rFonts w:cstheme="minorHAnsi"/>
                <w:sz w:val="24"/>
                <w:szCs w:val="24"/>
              </w:rPr>
              <w:t>David</w:t>
            </w:r>
            <w:r w:rsidRPr="003628B1">
              <w:rPr>
                <w:rFonts w:eastAsia="Calibri" w:cstheme="minorHAnsi"/>
                <w:sz w:val="24"/>
                <w:szCs w:val="24"/>
                <w:lang w:val="en-US"/>
              </w:rPr>
              <w:t>’s risk, further sexual offences occurred.</w:t>
            </w:r>
          </w:p>
          <w:p w14:paraId="10AE7796" w14:textId="7215E998" w:rsidR="005C3510" w:rsidRPr="00720707" w:rsidRDefault="005C3510"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3628B1">
              <w:rPr>
                <w:rFonts w:eastAsia="Calibri" w:cstheme="minorHAnsi"/>
                <w:sz w:val="24"/>
                <w:szCs w:val="24"/>
                <w:lang w:val="en-US"/>
              </w:rPr>
              <w:t xml:space="preserve">Immediately following these assaults, </w:t>
            </w:r>
            <w:r w:rsidR="00DF2AA7">
              <w:rPr>
                <w:rFonts w:cstheme="minorHAnsi"/>
                <w:sz w:val="24"/>
                <w:szCs w:val="24"/>
              </w:rPr>
              <w:t>David</w:t>
            </w:r>
            <w:r w:rsidRPr="003628B1">
              <w:rPr>
                <w:rFonts w:eastAsia="Calibri" w:cstheme="minorHAnsi"/>
                <w:sz w:val="24"/>
                <w:szCs w:val="24"/>
                <w:lang w:val="en-US"/>
              </w:rPr>
              <w:t xml:space="preserve"> was discharged from hospital</w:t>
            </w:r>
            <w:r w:rsidRPr="00720707">
              <w:rPr>
                <w:rFonts w:eastAsia="Calibri" w:cstheme="minorHAnsi"/>
                <w:sz w:val="24"/>
                <w:szCs w:val="24"/>
                <w:lang w:val="en-US"/>
              </w:rPr>
              <w:t xml:space="preserve"> and arrested and charged by the police for the acts (see section on discharges from detention in February 2020).</w:t>
            </w:r>
          </w:p>
          <w:p w14:paraId="102E7F26" w14:textId="300FB233" w:rsidR="005C3510" w:rsidRPr="00720707" w:rsidRDefault="005C3510"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After remand back to HMP Parc</w:t>
            </w:r>
            <w:r w:rsidR="005651C5" w:rsidRPr="00720707">
              <w:rPr>
                <w:rFonts w:eastAsia="Calibri" w:cstheme="minorHAnsi"/>
                <w:sz w:val="24"/>
                <w:szCs w:val="24"/>
                <w:lang w:val="en-US"/>
              </w:rPr>
              <w:t xml:space="preserve">, notwithstanding the onset of the Covid-19 lockdown (see separate section), </w:t>
            </w:r>
            <w:r w:rsidR="00DF2AA7">
              <w:rPr>
                <w:rFonts w:cstheme="minorHAnsi"/>
                <w:sz w:val="24"/>
                <w:szCs w:val="24"/>
              </w:rPr>
              <w:t>David</w:t>
            </w:r>
            <w:r w:rsidR="005651C5" w:rsidRPr="00720707">
              <w:rPr>
                <w:rFonts w:eastAsia="Calibri" w:cstheme="minorHAnsi"/>
                <w:sz w:val="24"/>
                <w:szCs w:val="24"/>
                <w:lang w:val="en-US"/>
              </w:rPr>
              <w:t xml:space="preserve"> was severely self-neglecting and care support was commissioned to manage this issue. </w:t>
            </w:r>
            <w:r w:rsidR="00DF2AA7">
              <w:rPr>
                <w:rFonts w:cstheme="minorHAnsi"/>
                <w:sz w:val="24"/>
                <w:szCs w:val="24"/>
              </w:rPr>
              <w:t>David</w:t>
            </w:r>
            <w:r w:rsidR="005651C5" w:rsidRPr="00720707">
              <w:rPr>
                <w:rFonts w:eastAsia="Calibri" w:cstheme="minorHAnsi"/>
                <w:sz w:val="24"/>
                <w:szCs w:val="24"/>
                <w:lang w:val="en-US"/>
              </w:rPr>
              <w:t xml:space="preserve"> exhibited intermittent and unpredictable violence towards prison and care staff and </w:t>
            </w:r>
            <w:r w:rsidR="007F2EA7" w:rsidRPr="00720707">
              <w:rPr>
                <w:rFonts w:eastAsia="Calibri" w:cstheme="minorHAnsi"/>
                <w:sz w:val="24"/>
                <w:szCs w:val="24"/>
                <w:lang w:val="en-US"/>
              </w:rPr>
              <w:t>risk assessments were updated to ensure a two-person unlock and at times care could not be provided due to the risk of violence.</w:t>
            </w:r>
          </w:p>
          <w:p w14:paraId="62D09D7C" w14:textId="77777777" w:rsidR="007F2EA7" w:rsidRPr="00720707" w:rsidRDefault="007F2E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
          <w:p w14:paraId="78367F3A" w14:textId="77777777" w:rsidR="007F2EA7" w:rsidRPr="00720707" w:rsidRDefault="007F2E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b/>
                <w:bCs/>
                <w:sz w:val="24"/>
                <w:szCs w:val="24"/>
                <w:u w:val="single"/>
                <w:lang w:val="en-US"/>
              </w:rPr>
            </w:pPr>
            <w:r w:rsidRPr="00720707">
              <w:rPr>
                <w:rFonts w:eastAsia="Calibri" w:cstheme="minorHAnsi"/>
                <w:b/>
                <w:bCs/>
                <w:sz w:val="24"/>
                <w:szCs w:val="24"/>
                <w:u w:val="single"/>
                <w:lang w:val="en-US"/>
              </w:rPr>
              <w:t>Mental Capacity</w:t>
            </w:r>
          </w:p>
          <w:p w14:paraId="5DBBC476" w14:textId="1D2E4DA0" w:rsidR="00FB6C9A" w:rsidRPr="00720707" w:rsidRDefault="00037AC0"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There was considerable and ongoing concern regarding </w:t>
            </w:r>
            <w:r w:rsidR="00DF2AA7">
              <w:rPr>
                <w:rFonts w:cstheme="minorHAnsi"/>
                <w:sz w:val="24"/>
                <w:szCs w:val="24"/>
              </w:rPr>
              <w:t>David</w:t>
            </w:r>
            <w:r w:rsidRPr="00720707">
              <w:rPr>
                <w:rFonts w:eastAsia="Calibri" w:cstheme="minorHAnsi"/>
                <w:sz w:val="24"/>
                <w:szCs w:val="24"/>
                <w:lang w:val="en-US"/>
              </w:rPr>
              <w:t>’s mental capacity throughout the period of this review. This concern was inextricably linked to the discussions regarding his mental health, and whether he was experiencing a severe mental illness, or some other form of mental disorder, including dementia or brain injury. The question of mental disorder is covered in a separate section so this section will only focus on mental capacity, while acknowledging the significant overlap between the two.</w:t>
            </w:r>
          </w:p>
          <w:p w14:paraId="076CCE65" w14:textId="7546C8E1" w:rsidR="00037AC0" w:rsidRPr="00720707" w:rsidRDefault="00F545B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roofErr w:type="gramStart"/>
            <w:r w:rsidRPr="00720707">
              <w:rPr>
                <w:rFonts w:eastAsia="Calibri" w:cstheme="minorHAnsi"/>
                <w:sz w:val="24"/>
                <w:szCs w:val="24"/>
                <w:lang w:val="en-US"/>
              </w:rPr>
              <w:t>The majority of</w:t>
            </w:r>
            <w:proofErr w:type="gramEnd"/>
            <w:r w:rsidRPr="00720707">
              <w:rPr>
                <w:rFonts w:eastAsia="Calibri" w:cstheme="minorHAnsi"/>
                <w:sz w:val="24"/>
                <w:szCs w:val="24"/>
                <w:lang w:val="en-US"/>
              </w:rPr>
              <w:t xml:space="preserve"> references to </w:t>
            </w:r>
            <w:r w:rsidR="00DF2AA7">
              <w:rPr>
                <w:rFonts w:cstheme="minorHAnsi"/>
                <w:sz w:val="24"/>
                <w:szCs w:val="24"/>
              </w:rPr>
              <w:t>David</w:t>
            </w:r>
            <w:r w:rsidRPr="00720707">
              <w:rPr>
                <w:rFonts w:eastAsia="Calibri" w:cstheme="minorHAnsi"/>
                <w:sz w:val="24"/>
                <w:szCs w:val="24"/>
                <w:lang w:val="en-US"/>
              </w:rPr>
              <w:t xml:space="preserve">’s mental capacity in the recording </w:t>
            </w:r>
            <w:proofErr w:type="gramStart"/>
            <w:r w:rsidRPr="00720707">
              <w:rPr>
                <w:rFonts w:eastAsia="Calibri" w:cstheme="minorHAnsi"/>
                <w:sz w:val="24"/>
                <w:szCs w:val="24"/>
                <w:lang w:val="en-US"/>
              </w:rPr>
              <w:t>does</w:t>
            </w:r>
            <w:proofErr w:type="gramEnd"/>
            <w:r w:rsidRPr="00720707">
              <w:rPr>
                <w:rFonts w:eastAsia="Calibri" w:cstheme="minorHAnsi"/>
                <w:sz w:val="24"/>
                <w:szCs w:val="24"/>
                <w:lang w:val="en-US"/>
              </w:rPr>
              <w:t xml:space="preserve"> include a reference to the decision which is being considered. This is evidence of good practice, in that the Mental Capacity Act (MCA) clarifies that capacity is both time- and decision-specific.</w:t>
            </w:r>
          </w:p>
          <w:p w14:paraId="74369EE7" w14:textId="77777777" w:rsidR="00F545BA" w:rsidRPr="00720707" w:rsidRDefault="00F545B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The review did not have access to the full capacity assessment documentation, so cannot comment on the quality and robustness of the assessments which were undertaken.</w:t>
            </w:r>
          </w:p>
          <w:p w14:paraId="6E7AF62E" w14:textId="77777777" w:rsidR="00672960" w:rsidRPr="00720707" w:rsidRDefault="00672960"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
          <w:p w14:paraId="7E43430F" w14:textId="78B6FAF5" w:rsidR="00F545BA" w:rsidRPr="00720707" w:rsidRDefault="00F545BA" w:rsidP="00672960">
            <w:pPr>
              <w:pStyle w:val="CommentText"/>
              <w:rPr>
                <w:rFonts w:eastAsia="Calibri" w:cstheme="minorHAnsi"/>
                <w:sz w:val="24"/>
                <w:szCs w:val="24"/>
                <w:lang w:val="en-US"/>
              </w:rPr>
            </w:pPr>
            <w:r w:rsidRPr="00720707">
              <w:rPr>
                <w:rFonts w:eastAsia="Calibri" w:cstheme="minorHAnsi"/>
                <w:sz w:val="24"/>
                <w:szCs w:val="24"/>
                <w:lang w:val="en-US"/>
              </w:rPr>
              <w:t xml:space="preserve">At the time of first psychiatric admission in February 2020, there was professional disagreement regarding </w:t>
            </w:r>
            <w:r w:rsidR="00DF2AA7">
              <w:rPr>
                <w:rFonts w:cstheme="minorHAnsi"/>
                <w:sz w:val="24"/>
                <w:szCs w:val="24"/>
              </w:rPr>
              <w:t>David</w:t>
            </w:r>
            <w:r w:rsidRPr="00720707">
              <w:rPr>
                <w:rFonts w:eastAsia="Calibri" w:cstheme="minorHAnsi"/>
                <w:sz w:val="24"/>
                <w:szCs w:val="24"/>
                <w:lang w:val="en-US"/>
              </w:rPr>
              <w:t xml:space="preserve">’s capacity to consent to informal admission. The probation note includes a description of the different views, and the coherent reasons why the probation officer concluded that </w:t>
            </w:r>
            <w:r w:rsidR="00DF2AA7">
              <w:rPr>
                <w:rFonts w:cstheme="minorHAnsi"/>
                <w:sz w:val="24"/>
                <w:szCs w:val="24"/>
              </w:rPr>
              <w:t>David</w:t>
            </w:r>
            <w:r w:rsidRPr="00720707">
              <w:rPr>
                <w:rFonts w:eastAsia="Calibri" w:cstheme="minorHAnsi"/>
                <w:sz w:val="24"/>
                <w:szCs w:val="24"/>
                <w:lang w:val="en-US"/>
              </w:rPr>
              <w:t xml:space="preserve"> lacked the relevant capacity.</w:t>
            </w:r>
          </w:p>
          <w:p w14:paraId="75709C7E" w14:textId="77777777" w:rsidR="00E25DC8" w:rsidRPr="00720707" w:rsidRDefault="00E25DC8"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It is important that professionals </w:t>
            </w:r>
            <w:proofErr w:type="gramStart"/>
            <w:r w:rsidRPr="00720707">
              <w:rPr>
                <w:rFonts w:eastAsia="Calibri" w:cstheme="minorHAnsi"/>
                <w:sz w:val="24"/>
                <w:szCs w:val="24"/>
                <w:lang w:val="en-US"/>
              </w:rPr>
              <w:t>are able to</w:t>
            </w:r>
            <w:proofErr w:type="gramEnd"/>
            <w:r w:rsidRPr="00720707">
              <w:rPr>
                <w:rFonts w:eastAsia="Calibri" w:cstheme="minorHAnsi"/>
                <w:sz w:val="24"/>
                <w:szCs w:val="24"/>
                <w:lang w:val="en-US"/>
              </w:rPr>
              <w:t xml:space="preserve"> openly discuss different opinions, and this appears to have occurred on this occasion. </w:t>
            </w:r>
          </w:p>
          <w:p w14:paraId="7C308C53" w14:textId="6B64D229" w:rsidR="00F545BA" w:rsidRPr="00720707" w:rsidRDefault="00F545BA"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At the point of discharge from the second admission in February, the consultant psychiatrist explicitly stated their view that </w:t>
            </w:r>
            <w:r w:rsidR="00DF2AA7">
              <w:rPr>
                <w:rFonts w:cstheme="minorHAnsi"/>
                <w:sz w:val="24"/>
                <w:szCs w:val="24"/>
              </w:rPr>
              <w:t>David</w:t>
            </w:r>
            <w:r w:rsidRPr="00720707">
              <w:rPr>
                <w:rFonts w:eastAsia="Calibri" w:cstheme="minorHAnsi"/>
                <w:sz w:val="24"/>
                <w:szCs w:val="24"/>
                <w:lang w:val="en-US"/>
              </w:rPr>
              <w:t xml:space="preserve"> had capacity to be interviewed by the police, and although the appropriate adult, solicitor and mental health nurse at the police station expressed their doubts about </w:t>
            </w:r>
            <w:r w:rsidR="00DF2AA7">
              <w:rPr>
                <w:rFonts w:cstheme="minorHAnsi"/>
                <w:sz w:val="24"/>
                <w:szCs w:val="24"/>
              </w:rPr>
              <w:t>David</w:t>
            </w:r>
            <w:r w:rsidRPr="00720707">
              <w:rPr>
                <w:rFonts w:eastAsia="Calibri" w:cstheme="minorHAnsi"/>
                <w:sz w:val="24"/>
                <w:szCs w:val="24"/>
                <w:lang w:val="en-US"/>
              </w:rPr>
              <w:t>’s fitness to be interviewed, the note carried sufficient weight to override the other professionals’ misgivings.</w:t>
            </w:r>
          </w:p>
          <w:p w14:paraId="6D844469" w14:textId="77777777" w:rsidR="00B22F74" w:rsidRPr="00720707" w:rsidRDefault="00B22F74"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Where an individual’s presentation and a professional’s assessment of it raises concerns or appears to be at odds, the professional challenge should be encouraged and documented.  </w:t>
            </w:r>
          </w:p>
          <w:p w14:paraId="06415E85" w14:textId="66A7BD98" w:rsidR="00F545BA" w:rsidRPr="00720707" w:rsidRDefault="00DF2AA7" w:rsidP="00FB6C9A">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Pr>
                <w:rFonts w:cstheme="minorHAnsi"/>
                <w:sz w:val="24"/>
                <w:szCs w:val="24"/>
              </w:rPr>
              <w:t>David</w:t>
            </w:r>
            <w:r w:rsidR="00F545BA" w:rsidRPr="00720707">
              <w:rPr>
                <w:rFonts w:eastAsia="Calibri" w:cstheme="minorHAnsi"/>
                <w:sz w:val="24"/>
                <w:szCs w:val="24"/>
                <w:lang w:val="en-US"/>
              </w:rPr>
              <w:t xml:space="preserve"> also admitted </w:t>
            </w:r>
            <w:r w:rsidR="00FE7B77" w:rsidRPr="00720707">
              <w:rPr>
                <w:rFonts w:eastAsia="Calibri" w:cstheme="minorHAnsi"/>
                <w:sz w:val="24"/>
                <w:szCs w:val="24"/>
                <w:lang w:val="en-US"/>
              </w:rPr>
              <w:t>being</w:t>
            </w:r>
            <w:r w:rsidR="00F545BA" w:rsidRPr="00720707">
              <w:rPr>
                <w:rFonts w:eastAsia="Calibri" w:cstheme="minorHAnsi"/>
                <w:sz w:val="24"/>
                <w:szCs w:val="24"/>
                <w:lang w:val="en-US"/>
              </w:rPr>
              <w:t xml:space="preserve"> under the influence of substances at this time, which is likely also to have affected his cognition and his mental capacity for this purpose. A different finding at this time may have changed the pathway for </w:t>
            </w:r>
            <w:r>
              <w:rPr>
                <w:rFonts w:cstheme="minorHAnsi"/>
                <w:sz w:val="24"/>
                <w:szCs w:val="24"/>
              </w:rPr>
              <w:t>David</w:t>
            </w:r>
            <w:r w:rsidR="00F545BA" w:rsidRPr="00720707">
              <w:rPr>
                <w:rFonts w:eastAsia="Calibri" w:cstheme="minorHAnsi"/>
                <w:sz w:val="24"/>
                <w:szCs w:val="24"/>
                <w:lang w:val="en-US"/>
              </w:rPr>
              <w:t xml:space="preserve"> and led to a diversion from the criminal justice route.</w:t>
            </w:r>
          </w:p>
          <w:p w14:paraId="14D3B6DC" w14:textId="35C3C05F" w:rsidR="00905359"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Mental capacity was used appropriately at HMP Parc in collaboration with Bridgend social services during the summer of 2021, when </w:t>
            </w:r>
            <w:r w:rsidR="00DF2AA7">
              <w:rPr>
                <w:rFonts w:cstheme="minorHAnsi"/>
                <w:sz w:val="24"/>
                <w:szCs w:val="24"/>
              </w:rPr>
              <w:t>David</w:t>
            </w:r>
            <w:r w:rsidRPr="00720707">
              <w:rPr>
                <w:rFonts w:eastAsia="Calibri" w:cstheme="minorHAnsi"/>
                <w:sz w:val="24"/>
                <w:szCs w:val="24"/>
                <w:lang w:val="en-US"/>
              </w:rPr>
              <w:t xml:space="preserve">’s capacity was assessed </w:t>
            </w:r>
            <w:proofErr w:type="gramStart"/>
            <w:r w:rsidRPr="00720707">
              <w:rPr>
                <w:rFonts w:eastAsia="Calibri" w:cstheme="minorHAnsi"/>
                <w:sz w:val="24"/>
                <w:szCs w:val="24"/>
                <w:lang w:val="en-US"/>
              </w:rPr>
              <w:t>with regard to</w:t>
            </w:r>
            <w:proofErr w:type="gramEnd"/>
            <w:r w:rsidRPr="00720707">
              <w:rPr>
                <w:rFonts w:eastAsia="Calibri" w:cstheme="minorHAnsi"/>
                <w:sz w:val="24"/>
                <w:szCs w:val="24"/>
                <w:lang w:val="en-US"/>
              </w:rPr>
              <w:t xml:space="preserve"> his self-care, and a best </w:t>
            </w:r>
            <w:proofErr w:type="gramStart"/>
            <w:r w:rsidR="00A14469" w:rsidRPr="00720707">
              <w:rPr>
                <w:rFonts w:eastAsia="Calibri" w:cstheme="minorHAnsi"/>
                <w:sz w:val="24"/>
                <w:szCs w:val="24"/>
                <w:lang w:val="en-US"/>
              </w:rPr>
              <w:t>interests</w:t>
            </w:r>
            <w:proofErr w:type="gramEnd"/>
            <w:r w:rsidRPr="00720707">
              <w:rPr>
                <w:rFonts w:eastAsia="Calibri" w:cstheme="minorHAnsi"/>
                <w:sz w:val="24"/>
                <w:szCs w:val="24"/>
                <w:lang w:val="en-US"/>
              </w:rPr>
              <w:t xml:space="preserve"> decision was made after it was found he lacked the relevant capacity.</w:t>
            </w:r>
          </w:p>
          <w:p w14:paraId="191AE5A6" w14:textId="7145D34B" w:rsidR="00FE7B77"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However, during the discussion regarding potential placement for assessment, it was commented that </w:t>
            </w:r>
            <w:r w:rsidR="00DF2AA7">
              <w:rPr>
                <w:rFonts w:cstheme="minorHAnsi"/>
                <w:sz w:val="24"/>
                <w:szCs w:val="24"/>
              </w:rPr>
              <w:t>David</w:t>
            </w:r>
            <w:r w:rsidRPr="00720707">
              <w:rPr>
                <w:rFonts w:eastAsia="Calibri" w:cstheme="minorHAnsi"/>
                <w:sz w:val="24"/>
                <w:szCs w:val="24"/>
                <w:lang w:val="en-US"/>
              </w:rPr>
              <w:t xml:space="preserve"> was presenting “a capacity issue not a mental health issue”. This creates a false dichotomy between mental capacity and mental health. They are certainly different </w:t>
            </w:r>
            <w:proofErr w:type="gramStart"/>
            <w:r w:rsidRPr="00720707">
              <w:rPr>
                <w:rFonts w:eastAsia="Calibri" w:cstheme="minorHAnsi"/>
                <w:sz w:val="24"/>
                <w:szCs w:val="24"/>
                <w:lang w:val="en-US"/>
              </w:rPr>
              <w:t>issues</w:t>
            </w:r>
            <w:proofErr w:type="gramEnd"/>
            <w:r w:rsidRPr="00720707">
              <w:rPr>
                <w:rFonts w:eastAsia="Calibri" w:cstheme="minorHAnsi"/>
                <w:sz w:val="24"/>
                <w:szCs w:val="24"/>
                <w:lang w:val="en-US"/>
              </w:rPr>
              <w:t xml:space="preserve"> but they can and do exist side-by-side and need to be addressed in a coordinated manner.</w:t>
            </w:r>
          </w:p>
          <w:p w14:paraId="37E8CEF9" w14:textId="77777777" w:rsidR="00FE7B77"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Individuals with a range of mental disorders, from those considered “severe mental illness” to those with organic disorders such as dementia and personality changes caused by brain </w:t>
            </w:r>
            <w:r w:rsidRPr="00720707">
              <w:rPr>
                <w:rFonts w:eastAsia="Calibri" w:cstheme="minorHAnsi"/>
                <w:sz w:val="24"/>
                <w:szCs w:val="24"/>
                <w:lang w:val="en-US"/>
              </w:rPr>
              <w:lastRenderedPageBreak/>
              <w:t>injury can lack mental capacity for a range of decisions.</w:t>
            </w:r>
          </w:p>
          <w:p w14:paraId="7958ECBD" w14:textId="77777777" w:rsidR="00E25DC8" w:rsidRPr="00720707" w:rsidRDefault="00E25DC8"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While some professionals are expected to have a more advanced knowledge of mental capacity than others, the MCA requires all staff who </w:t>
            </w:r>
            <w:proofErr w:type="gramStart"/>
            <w:r w:rsidRPr="00720707">
              <w:rPr>
                <w:rFonts w:eastAsia="Calibri" w:cstheme="minorHAnsi"/>
                <w:sz w:val="24"/>
                <w:szCs w:val="24"/>
                <w:lang w:val="en-US"/>
              </w:rPr>
              <w:t>work with people</w:t>
            </w:r>
            <w:proofErr w:type="gramEnd"/>
            <w:r w:rsidRPr="00720707">
              <w:rPr>
                <w:rFonts w:eastAsia="Calibri" w:cstheme="minorHAnsi"/>
                <w:sz w:val="24"/>
                <w:szCs w:val="24"/>
                <w:lang w:val="en-US"/>
              </w:rPr>
              <w:t xml:space="preserve"> with possible cognitive or mental impairment to </w:t>
            </w:r>
            <w:proofErr w:type="gramStart"/>
            <w:r w:rsidRPr="00720707">
              <w:rPr>
                <w:rFonts w:eastAsia="Calibri" w:cstheme="minorHAnsi"/>
                <w:sz w:val="24"/>
                <w:szCs w:val="24"/>
                <w:lang w:val="en-US"/>
              </w:rPr>
              <w:t>have an understanding of</w:t>
            </w:r>
            <w:proofErr w:type="gramEnd"/>
            <w:r w:rsidRPr="00720707">
              <w:rPr>
                <w:rFonts w:eastAsia="Calibri" w:cstheme="minorHAnsi"/>
                <w:sz w:val="24"/>
                <w:szCs w:val="24"/>
                <w:lang w:val="en-US"/>
              </w:rPr>
              <w:t xml:space="preserve"> the law and its </w:t>
            </w:r>
            <w:proofErr w:type="gramStart"/>
            <w:r w:rsidRPr="00720707">
              <w:rPr>
                <w:rFonts w:eastAsia="Calibri" w:cstheme="minorHAnsi"/>
                <w:sz w:val="24"/>
                <w:szCs w:val="24"/>
                <w:lang w:val="en-US"/>
              </w:rPr>
              <w:t>implementation, and</w:t>
            </w:r>
            <w:proofErr w:type="gramEnd"/>
            <w:r w:rsidRPr="00720707">
              <w:rPr>
                <w:rFonts w:eastAsia="Calibri" w:cstheme="minorHAnsi"/>
                <w:sz w:val="24"/>
                <w:szCs w:val="24"/>
                <w:lang w:val="en-US"/>
              </w:rPr>
              <w:t xml:space="preserve"> be able to escalate issues as necessary. Clarity in relation to the time- and decision- specific nature of mental capacity, and effective recording are particularly important.</w:t>
            </w:r>
          </w:p>
          <w:p w14:paraId="637EF709" w14:textId="77777777" w:rsidR="00E25DC8" w:rsidRPr="00720707" w:rsidRDefault="00E25DC8"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While the review found evidence of good practice in relation to mental capacity, it is crucial that all staff receive effective training, suitable </w:t>
            </w:r>
            <w:proofErr w:type="gramStart"/>
            <w:r w:rsidRPr="00720707">
              <w:rPr>
                <w:rFonts w:eastAsia="Calibri" w:cstheme="minorHAnsi"/>
                <w:sz w:val="24"/>
                <w:szCs w:val="24"/>
                <w:lang w:val="en-US"/>
              </w:rPr>
              <w:t>to</w:t>
            </w:r>
            <w:proofErr w:type="gramEnd"/>
            <w:r w:rsidRPr="00720707">
              <w:rPr>
                <w:rFonts w:eastAsia="Calibri" w:cstheme="minorHAnsi"/>
                <w:sz w:val="24"/>
                <w:szCs w:val="24"/>
                <w:lang w:val="en-US"/>
              </w:rPr>
              <w:t xml:space="preserve"> </w:t>
            </w:r>
            <w:proofErr w:type="gramStart"/>
            <w:r w:rsidRPr="00720707">
              <w:rPr>
                <w:rFonts w:eastAsia="Calibri" w:cstheme="minorHAnsi"/>
                <w:sz w:val="24"/>
                <w:szCs w:val="24"/>
                <w:lang w:val="en-US"/>
              </w:rPr>
              <w:t>the</w:t>
            </w:r>
            <w:proofErr w:type="gramEnd"/>
            <w:r w:rsidRPr="00720707">
              <w:rPr>
                <w:rFonts w:eastAsia="Calibri" w:cstheme="minorHAnsi"/>
                <w:sz w:val="24"/>
                <w:szCs w:val="24"/>
                <w:lang w:val="en-US"/>
              </w:rPr>
              <w:t xml:space="preserve"> role, with opportunities to receive updates relevant to their </w:t>
            </w:r>
            <w:proofErr w:type="gramStart"/>
            <w:r w:rsidRPr="00720707">
              <w:rPr>
                <w:rFonts w:eastAsia="Calibri" w:cstheme="minorHAnsi"/>
                <w:sz w:val="24"/>
                <w:szCs w:val="24"/>
                <w:lang w:val="en-US"/>
              </w:rPr>
              <w:t>particular working</w:t>
            </w:r>
            <w:proofErr w:type="gramEnd"/>
            <w:r w:rsidRPr="00720707">
              <w:rPr>
                <w:rFonts w:eastAsia="Calibri" w:cstheme="minorHAnsi"/>
                <w:sz w:val="24"/>
                <w:szCs w:val="24"/>
                <w:lang w:val="en-US"/>
              </w:rPr>
              <w:t xml:space="preserve"> environment.</w:t>
            </w:r>
          </w:p>
          <w:p w14:paraId="18D7EF29" w14:textId="77777777" w:rsidR="00E25DC8" w:rsidRPr="00720707" w:rsidRDefault="00E25DC8"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p>
          <w:p w14:paraId="2EFEB809" w14:textId="77777777" w:rsidR="00FE7B77"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u w:val="single"/>
                <w:lang w:val="en-US"/>
              </w:rPr>
            </w:pPr>
            <w:r w:rsidRPr="00720707">
              <w:rPr>
                <w:rFonts w:eastAsia="Calibri" w:cstheme="minorHAnsi"/>
                <w:sz w:val="24"/>
                <w:szCs w:val="24"/>
                <w:u w:val="single"/>
                <w:lang w:val="en-US"/>
              </w:rPr>
              <w:t>Inter-agency and inter-disciplinary communication and collaboration</w:t>
            </w:r>
          </w:p>
          <w:p w14:paraId="7CE6F753" w14:textId="50E6D3A3" w:rsidR="00FE7B77"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Following </w:t>
            </w:r>
            <w:r w:rsidR="00DF2AA7">
              <w:rPr>
                <w:rFonts w:cstheme="minorHAnsi"/>
                <w:sz w:val="24"/>
                <w:szCs w:val="24"/>
              </w:rPr>
              <w:t>David</w:t>
            </w:r>
            <w:r w:rsidRPr="00720707">
              <w:rPr>
                <w:rFonts w:eastAsia="Calibri" w:cstheme="minorHAnsi"/>
                <w:sz w:val="24"/>
                <w:szCs w:val="24"/>
                <w:lang w:val="en-US"/>
              </w:rPr>
              <w:t xml:space="preserve">’s assessment at Kneesworth House and the conclusion that there was no evidence of “severe mental illness”, both the </w:t>
            </w:r>
            <w:proofErr w:type="spellStart"/>
            <w:r w:rsidRPr="00720707">
              <w:rPr>
                <w:rFonts w:eastAsia="Calibri" w:cstheme="minorHAnsi"/>
                <w:sz w:val="24"/>
                <w:szCs w:val="24"/>
                <w:lang w:val="en-US"/>
              </w:rPr>
              <w:t>Inreach</w:t>
            </w:r>
            <w:proofErr w:type="spellEnd"/>
            <w:r w:rsidRPr="00720707">
              <w:rPr>
                <w:rFonts w:eastAsia="Calibri" w:cstheme="minorHAnsi"/>
                <w:sz w:val="24"/>
                <w:szCs w:val="24"/>
                <w:lang w:val="en-US"/>
              </w:rPr>
              <w:t xml:space="preserve"> team at HMP Parc and the secondary mental health team for the local health board disengaged from the discussions regarding </w:t>
            </w:r>
            <w:r w:rsidR="00DF2AA7">
              <w:rPr>
                <w:rFonts w:cstheme="minorHAnsi"/>
                <w:sz w:val="24"/>
                <w:szCs w:val="24"/>
              </w:rPr>
              <w:t>David</w:t>
            </w:r>
            <w:r w:rsidRPr="00720707">
              <w:rPr>
                <w:rFonts w:eastAsia="Calibri" w:cstheme="minorHAnsi"/>
                <w:sz w:val="24"/>
                <w:szCs w:val="24"/>
                <w:lang w:val="en-US"/>
              </w:rPr>
              <w:t>’s needs and his placement.</w:t>
            </w:r>
          </w:p>
          <w:p w14:paraId="43AB24FC" w14:textId="77777777" w:rsidR="00FE7B77" w:rsidRPr="00720707" w:rsidRDefault="00FE7B77"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Two case conferences in early 2021 were poorly attended with no representation from primary or secondary </w:t>
            </w:r>
            <w:r w:rsidR="00A14469" w:rsidRPr="00720707">
              <w:rPr>
                <w:rFonts w:eastAsia="Calibri" w:cstheme="minorHAnsi"/>
                <w:sz w:val="24"/>
                <w:szCs w:val="24"/>
                <w:lang w:val="en-US"/>
              </w:rPr>
              <w:t xml:space="preserve">Health </w:t>
            </w:r>
            <w:r w:rsidRPr="00720707">
              <w:rPr>
                <w:rFonts w:eastAsia="Calibri" w:cstheme="minorHAnsi"/>
                <w:sz w:val="24"/>
                <w:szCs w:val="24"/>
                <w:lang w:val="en-US"/>
              </w:rPr>
              <w:t>care. Staff at HMP Parc were unclear about who was responsible for requesting and sourcing a placement which would enable a neurological assessment to be completed.</w:t>
            </w:r>
          </w:p>
          <w:p w14:paraId="17B6BEE0" w14:textId="5B490AB7" w:rsidR="00B81EDE" w:rsidRPr="00720707" w:rsidRDefault="00B81EDE"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The lack of a clear diagnosis from Kneesworth House added to the uncertainty, with primary healthcare lacking the knowledge to proceed with sourcing a neurological placement, in the context of </w:t>
            </w:r>
            <w:r w:rsidR="00DF2AA7">
              <w:rPr>
                <w:rFonts w:cstheme="minorHAnsi"/>
                <w:sz w:val="24"/>
                <w:szCs w:val="24"/>
              </w:rPr>
              <w:t>David</w:t>
            </w:r>
            <w:r w:rsidRPr="00720707">
              <w:rPr>
                <w:rFonts w:eastAsia="Calibri" w:cstheme="minorHAnsi"/>
                <w:sz w:val="24"/>
                <w:szCs w:val="24"/>
                <w:lang w:val="en-US"/>
              </w:rPr>
              <w:t>’s risk profile. The additional advice that a Continuing Healthcare (CHC) assessment would be necessary caused further concern, as G4S clearly stated that they would need support and guidance in completing this assessment as they had never completed one before.</w:t>
            </w:r>
          </w:p>
          <w:p w14:paraId="58C55D5B" w14:textId="77777777" w:rsidR="00B81EDE" w:rsidRPr="00720707" w:rsidRDefault="00B81EDE"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It was important that all agencies continued to work closely at the beginning of 2021 to address this difficult issue. However, communication focused on the different interpretations of where the responsibility for this referral lay.</w:t>
            </w:r>
          </w:p>
          <w:p w14:paraId="269B5EED" w14:textId="77777777" w:rsidR="00B81EDE" w:rsidRPr="00720707" w:rsidRDefault="00B81EDE"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Primary and secondary </w:t>
            </w:r>
            <w:r w:rsidR="00A14469" w:rsidRPr="00720707">
              <w:rPr>
                <w:rFonts w:eastAsia="Calibri" w:cstheme="minorHAnsi"/>
                <w:sz w:val="24"/>
                <w:szCs w:val="24"/>
                <w:lang w:val="en-US"/>
              </w:rPr>
              <w:t xml:space="preserve">Health </w:t>
            </w:r>
            <w:r w:rsidRPr="00720707">
              <w:rPr>
                <w:rFonts w:eastAsia="Calibri" w:cstheme="minorHAnsi"/>
                <w:sz w:val="24"/>
                <w:szCs w:val="24"/>
                <w:lang w:val="en-US"/>
              </w:rPr>
              <w:t xml:space="preserve">care each believed the other should be taking the lead. G4S did not receive the support and guidance they were requesting for the CHC assessment, and as a result, the documentation was not completed </w:t>
            </w:r>
            <w:r w:rsidR="000A47DF" w:rsidRPr="00720707">
              <w:rPr>
                <w:rFonts w:eastAsia="Calibri" w:cstheme="minorHAnsi"/>
                <w:sz w:val="24"/>
                <w:szCs w:val="24"/>
                <w:lang w:val="en-US"/>
              </w:rPr>
              <w:t xml:space="preserve">throughout the spring and summer of 2021. Various issues arose, such as the documentation being on the wrong paperwork, incomplete, or for lack of </w:t>
            </w:r>
            <w:proofErr w:type="gramStart"/>
            <w:r w:rsidR="000A47DF" w:rsidRPr="00720707">
              <w:rPr>
                <w:rFonts w:eastAsia="Calibri" w:cstheme="minorHAnsi"/>
                <w:sz w:val="24"/>
                <w:szCs w:val="24"/>
                <w:lang w:val="en-US"/>
              </w:rPr>
              <w:t>particular professional</w:t>
            </w:r>
            <w:proofErr w:type="gramEnd"/>
            <w:r w:rsidR="000A47DF" w:rsidRPr="00720707">
              <w:rPr>
                <w:rFonts w:eastAsia="Calibri" w:cstheme="minorHAnsi"/>
                <w:sz w:val="24"/>
                <w:szCs w:val="24"/>
                <w:lang w:val="en-US"/>
              </w:rPr>
              <w:t xml:space="preserve"> input.</w:t>
            </w:r>
          </w:p>
          <w:p w14:paraId="31956F08" w14:textId="0357B244" w:rsidR="000A47DF" w:rsidRPr="00720707" w:rsidRDefault="000A47DF"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By September 2021, an email was sent from the Long-term Care Team that the plan to complete the CHC assessment should be reconsidered, as prison is not the most appropriate environment for such an assessment. It went on to suggest that the assessment should not be undertaken until </w:t>
            </w:r>
            <w:r w:rsidR="00DF2AA7">
              <w:rPr>
                <w:rFonts w:cstheme="minorHAnsi"/>
                <w:sz w:val="24"/>
                <w:szCs w:val="24"/>
              </w:rPr>
              <w:t>David</w:t>
            </w:r>
            <w:r w:rsidRPr="00720707">
              <w:rPr>
                <w:rFonts w:eastAsia="Calibri" w:cstheme="minorHAnsi"/>
                <w:sz w:val="24"/>
                <w:szCs w:val="24"/>
                <w:lang w:val="en-US"/>
              </w:rPr>
              <w:t xml:space="preserve"> was in a Low Secure Unit.</w:t>
            </w:r>
          </w:p>
          <w:p w14:paraId="4CD163F1" w14:textId="02C9802C" w:rsidR="000A47DF" w:rsidRPr="00720707" w:rsidRDefault="000A47DF"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This illustrated the vicious circle in which </w:t>
            </w:r>
            <w:r w:rsidR="00DF2AA7">
              <w:rPr>
                <w:rFonts w:cstheme="minorHAnsi"/>
                <w:sz w:val="24"/>
                <w:szCs w:val="24"/>
              </w:rPr>
              <w:t>David</w:t>
            </w:r>
            <w:r w:rsidRPr="00720707">
              <w:rPr>
                <w:rFonts w:eastAsia="Calibri" w:cstheme="minorHAnsi"/>
                <w:sz w:val="24"/>
                <w:szCs w:val="24"/>
                <w:lang w:val="en-US"/>
              </w:rPr>
              <w:t xml:space="preserve"> found himself, that the assessments could not take place until he was in a different environment, but he could not be moved from prison to such an environment due to the lack of an appropriate assessment.</w:t>
            </w:r>
          </w:p>
          <w:p w14:paraId="17F3ECD2" w14:textId="52E77D30" w:rsidR="000A47DF" w:rsidRPr="00720707" w:rsidRDefault="000A47DF" w:rsidP="00FE7B77">
            <w:pPr>
              <w:widowControl w:val="0"/>
              <w:tabs>
                <w:tab w:val="left" w:pos="3120"/>
                <w:tab w:val="center" w:pos="4513"/>
                <w:tab w:val="left" w:pos="4800"/>
                <w:tab w:val="left" w:pos="6480"/>
                <w:tab w:val="left" w:pos="7920"/>
                <w:tab w:val="right" w:pos="9026"/>
              </w:tabs>
              <w:spacing w:before="120" w:after="120" w:line="240" w:lineRule="auto"/>
              <w:rPr>
                <w:rFonts w:eastAsia="Calibri" w:cstheme="minorHAnsi"/>
                <w:sz w:val="24"/>
                <w:szCs w:val="24"/>
                <w:lang w:val="en-US"/>
              </w:rPr>
            </w:pPr>
            <w:r w:rsidRPr="00720707">
              <w:rPr>
                <w:rFonts w:eastAsia="Calibri" w:cstheme="minorHAnsi"/>
                <w:sz w:val="24"/>
                <w:szCs w:val="24"/>
                <w:lang w:val="en-US"/>
              </w:rPr>
              <w:t xml:space="preserve">Eventually, the Long-term Care Team completed the CHC assessment in a few days in October, although this appears to have little impact on the decision-making around </w:t>
            </w:r>
            <w:r w:rsidR="00DF2AA7">
              <w:rPr>
                <w:rFonts w:cstheme="minorHAnsi"/>
                <w:sz w:val="24"/>
                <w:szCs w:val="24"/>
              </w:rPr>
              <w:t>David</w:t>
            </w:r>
            <w:r w:rsidRPr="00720707">
              <w:rPr>
                <w:rFonts w:eastAsia="Calibri" w:cstheme="minorHAnsi"/>
                <w:sz w:val="24"/>
                <w:szCs w:val="24"/>
                <w:lang w:val="en-US"/>
              </w:rPr>
              <w:t xml:space="preserve">’s placement. However, the delay of eight months from first consideration of a need for CHC </w:t>
            </w:r>
            <w:r w:rsidRPr="00720707">
              <w:rPr>
                <w:rFonts w:eastAsia="Calibri" w:cstheme="minorHAnsi"/>
                <w:sz w:val="24"/>
                <w:szCs w:val="24"/>
                <w:lang w:val="en-US"/>
              </w:rPr>
              <w:lastRenderedPageBreak/>
              <w:t xml:space="preserve">assessment, to its completion in October, added to the uncertainty and the difficulties identifying responsibility for coordination of </w:t>
            </w:r>
            <w:r w:rsidR="00DF2AA7">
              <w:rPr>
                <w:rFonts w:cstheme="minorHAnsi"/>
                <w:sz w:val="24"/>
                <w:szCs w:val="24"/>
              </w:rPr>
              <w:t>David</w:t>
            </w:r>
            <w:r w:rsidRPr="00720707">
              <w:rPr>
                <w:rFonts w:eastAsia="Calibri" w:cstheme="minorHAnsi"/>
                <w:sz w:val="24"/>
                <w:szCs w:val="24"/>
                <w:lang w:val="en-US"/>
              </w:rPr>
              <w:t>’s care and treatment.</w:t>
            </w:r>
          </w:p>
          <w:p w14:paraId="03D0E6B8" w14:textId="30F3EC76" w:rsidR="000A47DF" w:rsidRPr="00720707" w:rsidRDefault="00FB4433" w:rsidP="00FE7B77">
            <w:pPr>
              <w:widowControl w:val="0"/>
              <w:tabs>
                <w:tab w:val="left" w:pos="3120"/>
                <w:tab w:val="center" w:pos="4513"/>
                <w:tab w:val="left" w:pos="4800"/>
                <w:tab w:val="left" w:pos="6480"/>
                <w:tab w:val="left" w:pos="7920"/>
                <w:tab w:val="right" w:pos="9026"/>
              </w:tabs>
              <w:spacing w:before="120" w:after="120" w:line="240" w:lineRule="auto"/>
              <w:rPr>
                <w:rFonts w:cstheme="minorHAnsi"/>
                <w:sz w:val="24"/>
                <w:szCs w:val="24"/>
              </w:rPr>
            </w:pPr>
            <w:r w:rsidRPr="00720707">
              <w:rPr>
                <w:rFonts w:eastAsia="Calibri" w:cstheme="minorHAnsi"/>
                <w:sz w:val="24"/>
                <w:szCs w:val="24"/>
                <w:lang w:val="en-US"/>
              </w:rPr>
              <w:t xml:space="preserve">The dilemma was solved by the decision to request a further assessment of </w:t>
            </w:r>
            <w:r w:rsidR="00DF2AA7">
              <w:rPr>
                <w:rFonts w:cstheme="minorHAnsi"/>
                <w:sz w:val="24"/>
                <w:szCs w:val="24"/>
              </w:rPr>
              <w:t>David</w:t>
            </w:r>
            <w:r w:rsidRPr="00720707">
              <w:rPr>
                <w:rFonts w:eastAsia="Calibri" w:cstheme="minorHAnsi"/>
                <w:sz w:val="24"/>
                <w:szCs w:val="24"/>
                <w:lang w:val="en-US"/>
              </w:rPr>
              <w:t xml:space="preserve">’s mental health under MHA s35, although this was further delayed due to the inability of the local low secure unit at Taith Newydd to take him and the refusal of private neurological providers to accept him. This followed the escalation of the case to </w:t>
            </w:r>
            <w:r w:rsidRPr="00720707">
              <w:rPr>
                <w:rFonts w:cstheme="minorHAnsi"/>
                <w:sz w:val="24"/>
                <w:szCs w:val="24"/>
              </w:rPr>
              <w:t>Corporate Director for Social Services and Wellbeing in Bridgend County Borough Council, and the MAPPA Strategic Management Board chairs.</w:t>
            </w:r>
            <w:r w:rsidRPr="00F00ED5">
              <w:rPr>
                <w:rStyle w:val="FootnoteReference"/>
                <w:rFonts w:asciiTheme="minorHAnsi" w:hAnsiTheme="minorHAnsi" w:cstheme="minorHAnsi"/>
                <w:sz w:val="24"/>
                <w:szCs w:val="24"/>
                <w:vertAlign w:val="superscript"/>
              </w:rPr>
              <w:footnoteReference w:id="17"/>
            </w:r>
          </w:p>
          <w:p w14:paraId="002FDDB1" w14:textId="62A2B22D" w:rsidR="00FB4433" w:rsidRPr="00720707" w:rsidRDefault="00FB4433" w:rsidP="00FE7B77">
            <w:pPr>
              <w:widowControl w:val="0"/>
              <w:tabs>
                <w:tab w:val="left" w:pos="3120"/>
                <w:tab w:val="center" w:pos="4513"/>
                <w:tab w:val="left" w:pos="4800"/>
                <w:tab w:val="left" w:pos="6480"/>
                <w:tab w:val="left" w:pos="7920"/>
                <w:tab w:val="right" w:pos="9026"/>
              </w:tabs>
              <w:spacing w:before="120" w:after="120" w:line="240" w:lineRule="auto"/>
              <w:rPr>
                <w:rFonts w:cstheme="minorHAnsi"/>
                <w:sz w:val="24"/>
                <w:szCs w:val="24"/>
              </w:rPr>
            </w:pPr>
            <w:r w:rsidRPr="00720707">
              <w:rPr>
                <w:rFonts w:cstheme="minorHAnsi"/>
                <w:sz w:val="24"/>
                <w:szCs w:val="24"/>
              </w:rPr>
              <w:t xml:space="preserve">There is no doubt that </w:t>
            </w:r>
            <w:r w:rsidR="00DF2AA7">
              <w:rPr>
                <w:rFonts w:cstheme="minorHAnsi"/>
                <w:sz w:val="24"/>
                <w:szCs w:val="24"/>
              </w:rPr>
              <w:t>David</w:t>
            </w:r>
            <w:r w:rsidRPr="00720707">
              <w:rPr>
                <w:rFonts w:cstheme="minorHAnsi"/>
                <w:sz w:val="24"/>
                <w:szCs w:val="24"/>
              </w:rPr>
              <w:t xml:space="preserve"> presented unusual and considerable challenges to services. He did not present with a classic ‘severe mental </w:t>
            </w:r>
            <w:proofErr w:type="gramStart"/>
            <w:r w:rsidRPr="00720707">
              <w:rPr>
                <w:rFonts w:cstheme="minorHAnsi"/>
                <w:sz w:val="24"/>
                <w:szCs w:val="24"/>
              </w:rPr>
              <w:t>illness’</w:t>
            </w:r>
            <w:proofErr w:type="gramEnd"/>
            <w:r w:rsidRPr="00720707">
              <w:rPr>
                <w:rFonts w:cstheme="minorHAnsi"/>
                <w:sz w:val="24"/>
                <w:szCs w:val="24"/>
              </w:rPr>
              <w:t xml:space="preserve"> and various conditions caused by organic damage to his brain were considered. It is in this context that </w:t>
            </w:r>
            <w:r w:rsidR="00DF2AA7">
              <w:rPr>
                <w:rFonts w:cstheme="minorHAnsi"/>
                <w:sz w:val="24"/>
                <w:szCs w:val="24"/>
              </w:rPr>
              <w:t>David</w:t>
            </w:r>
            <w:r w:rsidRPr="00720707">
              <w:rPr>
                <w:rFonts w:cstheme="minorHAnsi"/>
                <w:sz w:val="24"/>
                <w:szCs w:val="24"/>
              </w:rPr>
              <w:t xml:space="preserve"> appears to have ‘fallen through the gaps’ in services, in which no service accepted responsibility for his ongoing assessment and care planning. </w:t>
            </w:r>
          </w:p>
          <w:p w14:paraId="47586F4C" w14:textId="77777777" w:rsidR="00FB4433" w:rsidRPr="00720707" w:rsidRDefault="00FB4433" w:rsidP="00FE7B77">
            <w:pPr>
              <w:widowControl w:val="0"/>
              <w:tabs>
                <w:tab w:val="left" w:pos="3120"/>
                <w:tab w:val="center" w:pos="4513"/>
                <w:tab w:val="left" w:pos="4800"/>
                <w:tab w:val="left" w:pos="6480"/>
                <w:tab w:val="left" w:pos="7920"/>
                <w:tab w:val="right" w:pos="9026"/>
              </w:tabs>
              <w:spacing w:before="120" w:after="120" w:line="240" w:lineRule="auto"/>
              <w:rPr>
                <w:rFonts w:cstheme="minorHAnsi"/>
                <w:sz w:val="24"/>
                <w:szCs w:val="24"/>
              </w:rPr>
            </w:pPr>
            <w:r w:rsidRPr="00720707">
              <w:rPr>
                <w:rFonts w:cstheme="minorHAnsi"/>
                <w:sz w:val="24"/>
                <w:szCs w:val="24"/>
              </w:rPr>
              <w:t xml:space="preserve">It is in these cases that it is important that services do not disengage with the </w:t>
            </w:r>
            <w:r w:rsidR="00C75BE5" w:rsidRPr="00720707">
              <w:rPr>
                <w:rFonts w:cstheme="minorHAnsi"/>
                <w:sz w:val="24"/>
                <w:szCs w:val="24"/>
              </w:rPr>
              <w:t xml:space="preserve">relevant </w:t>
            </w:r>
            <w:r w:rsidRPr="00720707">
              <w:rPr>
                <w:rFonts w:cstheme="minorHAnsi"/>
                <w:sz w:val="24"/>
                <w:szCs w:val="24"/>
              </w:rPr>
              <w:t>process</w:t>
            </w:r>
            <w:r w:rsidR="00C75BE5" w:rsidRPr="00720707">
              <w:rPr>
                <w:rFonts w:cstheme="minorHAnsi"/>
                <w:sz w:val="24"/>
                <w:szCs w:val="24"/>
              </w:rPr>
              <w:t xml:space="preserve">es including </w:t>
            </w:r>
            <w:proofErr w:type="gramStart"/>
            <w:r w:rsidR="00C75BE5" w:rsidRPr="00720707">
              <w:rPr>
                <w:rFonts w:cstheme="minorHAnsi"/>
                <w:sz w:val="24"/>
                <w:szCs w:val="24"/>
              </w:rPr>
              <w:t>MAPPA</w:t>
            </w:r>
            <w:r w:rsidRPr="00720707">
              <w:rPr>
                <w:rFonts w:cstheme="minorHAnsi"/>
                <w:sz w:val="24"/>
                <w:szCs w:val="24"/>
              </w:rPr>
              <w:t>, and</w:t>
            </w:r>
            <w:proofErr w:type="gramEnd"/>
            <w:r w:rsidRPr="00720707">
              <w:rPr>
                <w:rFonts w:cstheme="minorHAnsi"/>
                <w:sz w:val="24"/>
                <w:szCs w:val="24"/>
              </w:rPr>
              <w:t xml:space="preserve"> continue to work together to explore all options in a spirit of cooperation, even if it is their opinion that they do not have the expertise, or the ultimate responsibility to take the case forward.</w:t>
            </w:r>
          </w:p>
          <w:p w14:paraId="1A757332" w14:textId="77777777" w:rsidR="006C38FE" w:rsidRDefault="006C38FE" w:rsidP="00720707">
            <w:pPr>
              <w:spacing w:before="120" w:after="120" w:line="240" w:lineRule="auto"/>
              <w:rPr>
                <w:rFonts w:cstheme="minorHAnsi"/>
                <w:sz w:val="24"/>
                <w:szCs w:val="24"/>
              </w:rPr>
            </w:pPr>
            <w:r w:rsidRPr="00720707">
              <w:rPr>
                <w:rFonts w:cstheme="minorHAnsi"/>
                <w:sz w:val="24"/>
                <w:szCs w:val="24"/>
              </w:rPr>
              <w:t xml:space="preserve">The reviewing team experienced considerable difficulty in obtaining the documentation during the review, which covered the relevant assessments in which this diagnosis was made. Significant escalation and legal challenges were necessary </w:t>
            </w:r>
            <w:proofErr w:type="gramStart"/>
            <w:r w:rsidRPr="00720707">
              <w:rPr>
                <w:rFonts w:cstheme="minorHAnsi"/>
                <w:sz w:val="24"/>
                <w:szCs w:val="24"/>
              </w:rPr>
              <w:t>in order for</w:t>
            </w:r>
            <w:proofErr w:type="gramEnd"/>
            <w:r w:rsidRPr="00720707">
              <w:rPr>
                <w:rFonts w:cstheme="minorHAnsi"/>
                <w:sz w:val="24"/>
                <w:szCs w:val="24"/>
              </w:rPr>
              <w:t xml:space="preserve"> the review team to access this documentation. It is important that health staff are aware of the legislation which enables lawful sharing of information.</w:t>
            </w:r>
          </w:p>
          <w:p w14:paraId="39DF7D40" w14:textId="77777777" w:rsidR="00062751" w:rsidRDefault="00062751" w:rsidP="00720707">
            <w:pPr>
              <w:spacing w:before="120" w:after="120" w:line="240" w:lineRule="auto"/>
              <w:rPr>
                <w:rFonts w:cstheme="minorHAnsi"/>
                <w:sz w:val="24"/>
                <w:szCs w:val="24"/>
              </w:rPr>
            </w:pPr>
          </w:p>
          <w:p w14:paraId="4DD4D9A4" w14:textId="28716516" w:rsidR="00062751" w:rsidRDefault="00062751" w:rsidP="00062751">
            <w:pPr>
              <w:rPr>
                <w:b/>
                <w:bCs/>
              </w:rPr>
            </w:pPr>
            <w:r>
              <w:rPr>
                <w:b/>
                <w:bCs/>
              </w:rPr>
              <w:t>David</w:t>
            </w:r>
            <w:r>
              <w:rPr>
                <w:b/>
                <w:bCs/>
              </w:rPr>
              <w:t>’s view</w:t>
            </w:r>
            <w:r>
              <w:rPr>
                <w:b/>
                <w:bCs/>
              </w:rPr>
              <w:t>s</w:t>
            </w:r>
          </w:p>
          <w:p w14:paraId="706A8B6C" w14:textId="77777777" w:rsidR="00062751" w:rsidRDefault="00062751" w:rsidP="00062751">
            <w:r>
              <w:t xml:space="preserve">As part of the </w:t>
            </w:r>
            <w:r>
              <w:t>adult</w:t>
            </w:r>
            <w:r>
              <w:t xml:space="preserve"> practice review, </w:t>
            </w:r>
            <w:r>
              <w:t xml:space="preserve">the mental health team supporting David were consulted with to ensure he was made aware a review concerning him was being conducted. </w:t>
            </w:r>
          </w:p>
          <w:p w14:paraId="26B27F98" w14:textId="40EC60F0" w:rsidR="00062751" w:rsidRPr="00062751" w:rsidRDefault="00062751" w:rsidP="00062751">
            <w:pPr>
              <w:rPr>
                <w:b/>
                <w:bCs/>
              </w:rPr>
            </w:pPr>
            <w:r>
              <w:t xml:space="preserve">Although David was not well enough to engage with the reviewers, a copy of the final review report has been shared and explained to him. </w:t>
            </w:r>
          </w:p>
        </w:tc>
      </w:tr>
    </w:tbl>
    <w:p w14:paraId="27BEB3F0" w14:textId="77777777" w:rsidR="00B07464" w:rsidRPr="00720707" w:rsidRDefault="00B07464" w:rsidP="00DD590A">
      <w:pPr>
        <w:widowControl w:val="0"/>
        <w:spacing w:after="0" w:line="240" w:lineRule="auto"/>
        <w:ind w:left="360"/>
        <w:jc w:val="center"/>
        <w:rPr>
          <w:rFonts w:eastAsia="Calibri" w:cstheme="minorHAnsi"/>
          <w:b/>
          <w:sz w:val="24"/>
          <w:szCs w:val="24"/>
          <w:lang w:val="en-US"/>
        </w:rPr>
        <w:sectPr w:rsidR="00B07464" w:rsidRPr="00720707" w:rsidSect="006347BB">
          <w:headerReference w:type="default" r:id="rId9"/>
          <w:footerReference w:type="default" r:id="rId10"/>
          <w:pgSz w:w="11906" w:h="16838"/>
          <w:pgMar w:top="993" w:right="1440" w:bottom="851" w:left="1440" w:header="708" w:footer="708" w:gutter="0"/>
          <w:cols w:space="708"/>
          <w:docGrid w:linePitch="360"/>
        </w:sect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DD590A" w:rsidRPr="00720707" w14:paraId="57D4DEC2" w14:textId="77777777" w:rsidTr="00B07464">
        <w:trPr>
          <w:trHeight w:val="942"/>
          <w:jc w:val="center"/>
        </w:trPr>
        <w:tc>
          <w:tcPr>
            <w:tcW w:w="9209" w:type="dxa"/>
            <w:tcBorders>
              <w:top w:val="single" w:sz="4" w:space="0" w:color="auto"/>
              <w:left w:val="single" w:sz="4" w:space="0" w:color="auto"/>
              <w:bottom w:val="single" w:sz="4" w:space="0" w:color="auto"/>
              <w:right w:val="single" w:sz="4" w:space="0" w:color="auto"/>
            </w:tcBorders>
            <w:shd w:val="clear" w:color="auto" w:fill="CCCCCC"/>
            <w:vAlign w:val="center"/>
          </w:tcPr>
          <w:p w14:paraId="5A09D33B" w14:textId="77777777" w:rsidR="00DD590A" w:rsidRPr="00720707" w:rsidRDefault="00DD590A" w:rsidP="00DD590A">
            <w:pPr>
              <w:widowControl w:val="0"/>
              <w:spacing w:after="0" w:line="240" w:lineRule="auto"/>
              <w:ind w:left="360"/>
              <w:jc w:val="center"/>
              <w:rPr>
                <w:rFonts w:eastAsia="Calibri" w:cstheme="minorHAnsi"/>
                <w:b/>
                <w:sz w:val="24"/>
                <w:szCs w:val="24"/>
                <w:lang w:val="en-US"/>
              </w:rPr>
            </w:pPr>
            <w:r w:rsidRPr="00720707">
              <w:rPr>
                <w:rFonts w:eastAsia="Calibri" w:cstheme="minorHAnsi"/>
                <w:b/>
                <w:sz w:val="24"/>
                <w:szCs w:val="24"/>
                <w:lang w:val="en-US"/>
              </w:rPr>
              <w:lastRenderedPageBreak/>
              <w:t>Improving Systems and Practice</w:t>
            </w:r>
          </w:p>
          <w:p w14:paraId="45F95E7E" w14:textId="77777777" w:rsidR="00DD590A" w:rsidRPr="00720707" w:rsidRDefault="00DD590A" w:rsidP="00DD590A">
            <w:pPr>
              <w:widowControl w:val="0"/>
              <w:spacing w:after="0" w:line="240" w:lineRule="auto"/>
              <w:ind w:left="360"/>
              <w:rPr>
                <w:rFonts w:eastAsia="Calibri" w:cstheme="minorHAnsi"/>
                <w:sz w:val="24"/>
                <w:szCs w:val="24"/>
                <w:lang w:val="en-US"/>
              </w:rPr>
            </w:pPr>
            <w:proofErr w:type="gramStart"/>
            <w:r w:rsidRPr="00720707">
              <w:rPr>
                <w:rFonts w:eastAsia="Calibri" w:cstheme="minorHAnsi"/>
                <w:i/>
                <w:sz w:val="24"/>
                <w:szCs w:val="24"/>
                <w:lang w:val="en-US"/>
              </w:rPr>
              <w:t>In order to</w:t>
            </w:r>
            <w:proofErr w:type="gramEnd"/>
            <w:r w:rsidRPr="00720707">
              <w:rPr>
                <w:rFonts w:eastAsia="Calibri" w:cstheme="minorHAnsi"/>
                <w:i/>
                <w:sz w:val="24"/>
                <w:szCs w:val="24"/>
                <w:lang w:val="en-US"/>
              </w:rPr>
              <w:t xml:space="preserve"> promote learning from this case the review identified the following actions for the Board and its member agencies and anticipated improvement </w:t>
            </w:r>
            <w:proofErr w:type="gramStart"/>
            <w:r w:rsidRPr="00720707">
              <w:rPr>
                <w:rFonts w:eastAsia="Calibri" w:cstheme="minorHAnsi"/>
                <w:i/>
                <w:sz w:val="24"/>
                <w:szCs w:val="24"/>
                <w:lang w:val="en-US"/>
              </w:rPr>
              <w:t>outcomes</w:t>
            </w:r>
            <w:r w:rsidRPr="00720707">
              <w:rPr>
                <w:rFonts w:eastAsia="Calibri" w:cstheme="minorHAnsi"/>
                <w:sz w:val="24"/>
                <w:szCs w:val="24"/>
                <w:lang w:val="en-US"/>
              </w:rPr>
              <w:t>:-</w:t>
            </w:r>
            <w:proofErr w:type="gramEnd"/>
          </w:p>
          <w:p w14:paraId="0AAADC5F" w14:textId="77777777" w:rsidR="00DD590A" w:rsidRPr="00720707" w:rsidRDefault="00DD590A" w:rsidP="00DD590A">
            <w:pPr>
              <w:widowControl w:val="0"/>
              <w:spacing w:after="0" w:line="240" w:lineRule="auto"/>
              <w:ind w:left="360"/>
              <w:rPr>
                <w:rFonts w:eastAsia="Calibri" w:cstheme="minorHAnsi"/>
                <w:b/>
                <w:sz w:val="24"/>
                <w:szCs w:val="24"/>
                <w:lang w:val="en-US"/>
              </w:rPr>
            </w:pPr>
          </w:p>
        </w:tc>
      </w:tr>
      <w:tr w:rsidR="00DD590A" w:rsidRPr="00720707" w14:paraId="58DB58C2" w14:textId="77777777" w:rsidTr="00B07464">
        <w:trPr>
          <w:trHeight w:val="366"/>
          <w:jc w:val="center"/>
        </w:trPr>
        <w:tc>
          <w:tcPr>
            <w:tcW w:w="9209" w:type="dxa"/>
            <w:tcBorders>
              <w:top w:val="nil"/>
              <w:left w:val="single" w:sz="4" w:space="0" w:color="auto"/>
              <w:bottom w:val="single" w:sz="4" w:space="0" w:color="auto"/>
              <w:right w:val="single" w:sz="4" w:space="0" w:color="auto"/>
            </w:tcBorders>
            <w:vAlign w:val="bottom"/>
          </w:tcPr>
          <w:p w14:paraId="1C72A5CD" w14:textId="77777777" w:rsidR="00DD590A" w:rsidRPr="00720707" w:rsidRDefault="00B07464" w:rsidP="001801F9">
            <w:pPr>
              <w:widowControl w:val="0"/>
              <w:spacing w:after="0" w:line="240" w:lineRule="auto"/>
              <w:jc w:val="center"/>
              <w:rPr>
                <w:rFonts w:eastAsia="Calibri" w:cstheme="minorHAnsi"/>
                <w:sz w:val="24"/>
                <w:szCs w:val="24"/>
                <w:lang w:val="en-US"/>
              </w:rPr>
            </w:pPr>
            <w:r w:rsidRPr="00720707">
              <w:rPr>
                <w:rFonts w:eastAsia="Calibri" w:cstheme="minorHAnsi"/>
                <w:sz w:val="24"/>
                <w:szCs w:val="24"/>
                <w:lang w:val="en-US"/>
              </w:rPr>
              <w:t>(W</w:t>
            </w:r>
            <w:r w:rsidR="00DD590A" w:rsidRPr="00720707">
              <w:rPr>
                <w:rFonts w:eastAsia="Calibri" w:cstheme="minorHAnsi"/>
                <w:sz w:val="24"/>
                <w:szCs w:val="24"/>
                <w:lang w:val="en-US"/>
              </w:rPr>
              <w:t>hat needs to be done in the future and how this will improve future practice and systems to support practice)</w:t>
            </w:r>
          </w:p>
          <w:p w14:paraId="754F5D78" w14:textId="77777777" w:rsidR="001801F9" w:rsidRPr="00720707" w:rsidRDefault="001801F9" w:rsidP="001801F9">
            <w:pPr>
              <w:widowControl w:val="0"/>
              <w:spacing w:after="0" w:line="240" w:lineRule="auto"/>
              <w:jc w:val="center"/>
              <w:rPr>
                <w:rFonts w:eastAsia="Calibri" w:cstheme="minorHAnsi"/>
                <w:sz w:val="24"/>
                <w:szCs w:val="24"/>
                <w:lang w:val="en-US"/>
              </w:rPr>
            </w:pPr>
          </w:p>
          <w:p w14:paraId="00C1C70C" w14:textId="77777777" w:rsidR="00444B69" w:rsidRPr="00720707" w:rsidRDefault="001801F9" w:rsidP="00444B69">
            <w:pPr>
              <w:widowControl w:val="0"/>
              <w:rPr>
                <w:rFonts w:eastAsia="Calibri" w:cstheme="minorHAnsi"/>
                <w:sz w:val="24"/>
                <w:szCs w:val="24"/>
                <w:u w:val="single"/>
                <w:lang w:val="en-US"/>
              </w:rPr>
            </w:pPr>
            <w:r w:rsidRPr="00720707">
              <w:rPr>
                <w:rFonts w:eastAsia="Calibri" w:cstheme="minorHAnsi"/>
                <w:sz w:val="24"/>
                <w:szCs w:val="24"/>
                <w:u w:val="single"/>
                <w:lang w:val="en-US"/>
              </w:rPr>
              <w:t>Mental Health Resources Community</w:t>
            </w:r>
          </w:p>
          <w:p w14:paraId="24FDD3FA" w14:textId="77777777" w:rsidR="001801F9" w:rsidRPr="00720707" w:rsidRDefault="00444B69" w:rsidP="00444B69">
            <w:pPr>
              <w:widowControl w:val="0"/>
              <w:rPr>
                <w:rFonts w:eastAsia="Calibri" w:cstheme="minorHAnsi"/>
                <w:sz w:val="24"/>
                <w:szCs w:val="24"/>
                <w:lang w:val="en-US"/>
              </w:rPr>
            </w:pPr>
            <w:r w:rsidRPr="00720707">
              <w:rPr>
                <w:rFonts w:eastAsia="Calibri" w:cstheme="minorHAnsi"/>
                <w:sz w:val="24"/>
                <w:szCs w:val="24"/>
                <w:lang w:val="en-US"/>
              </w:rPr>
              <w:t xml:space="preserve">Recommendation 1 </w:t>
            </w:r>
            <w:r w:rsidR="00384361" w:rsidRPr="00720707">
              <w:rPr>
                <w:rFonts w:eastAsia="Calibri" w:cstheme="minorHAnsi"/>
                <w:sz w:val="24"/>
                <w:szCs w:val="24"/>
                <w:lang w:val="en-US"/>
              </w:rPr>
              <w:t>–</w:t>
            </w:r>
            <w:r w:rsidRPr="00720707">
              <w:rPr>
                <w:rFonts w:eastAsia="Calibri" w:cstheme="minorHAnsi"/>
                <w:sz w:val="24"/>
                <w:szCs w:val="24"/>
                <w:lang w:val="en-US"/>
              </w:rPr>
              <w:t xml:space="preserve"> </w:t>
            </w:r>
            <w:r w:rsidR="00384361" w:rsidRPr="00720707">
              <w:rPr>
                <w:rFonts w:eastAsia="Calibri" w:cstheme="minorHAnsi"/>
                <w:sz w:val="24"/>
                <w:szCs w:val="24"/>
                <w:lang w:val="en-US"/>
              </w:rPr>
              <w:t xml:space="preserve">The Safeguarding Board </w:t>
            </w:r>
            <w:r w:rsidRPr="00720707">
              <w:rPr>
                <w:rFonts w:eastAsia="Calibri" w:cstheme="minorHAnsi"/>
                <w:sz w:val="24"/>
                <w:szCs w:val="24"/>
                <w:lang w:val="en-US"/>
              </w:rPr>
              <w:t xml:space="preserve">should consider reviewing the pathways and resources that are able to support those persons requiring early intervention and prevention to identify the demand </w:t>
            </w:r>
            <w:r w:rsidR="00384361" w:rsidRPr="00720707">
              <w:rPr>
                <w:rFonts w:eastAsia="Calibri" w:cstheme="minorHAnsi"/>
                <w:sz w:val="24"/>
                <w:szCs w:val="24"/>
                <w:lang w:val="en-US"/>
              </w:rPr>
              <w:t xml:space="preserve">and subsequent capacity </w:t>
            </w:r>
            <w:r w:rsidRPr="00720707">
              <w:rPr>
                <w:rFonts w:eastAsia="Calibri" w:cstheme="minorHAnsi"/>
                <w:sz w:val="24"/>
                <w:szCs w:val="24"/>
                <w:lang w:val="en-US"/>
              </w:rPr>
              <w:t>pressures</w:t>
            </w:r>
            <w:r w:rsidR="00384361" w:rsidRPr="00720707">
              <w:rPr>
                <w:rFonts w:eastAsia="Calibri" w:cstheme="minorHAnsi"/>
                <w:sz w:val="24"/>
                <w:szCs w:val="24"/>
                <w:lang w:val="en-US"/>
              </w:rPr>
              <w:t>.</w:t>
            </w:r>
          </w:p>
          <w:p w14:paraId="38B9F5A3" w14:textId="77777777" w:rsidR="001801F9" w:rsidRPr="00720707" w:rsidRDefault="001801F9" w:rsidP="001801F9">
            <w:pPr>
              <w:widowControl w:val="0"/>
              <w:spacing w:after="0" w:line="240" w:lineRule="auto"/>
              <w:rPr>
                <w:rFonts w:eastAsia="Calibri" w:cstheme="minorHAnsi"/>
                <w:sz w:val="24"/>
                <w:szCs w:val="24"/>
                <w:lang w:val="en-US"/>
              </w:rPr>
            </w:pPr>
          </w:p>
          <w:p w14:paraId="51114F0F" w14:textId="77777777" w:rsidR="001801F9" w:rsidRPr="00720707" w:rsidRDefault="001801F9" w:rsidP="00384361">
            <w:pPr>
              <w:widowControl w:val="0"/>
              <w:rPr>
                <w:rFonts w:eastAsia="Calibri" w:cstheme="minorHAnsi"/>
                <w:sz w:val="24"/>
                <w:szCs w:val="24"/>
                <w:u w:val="single"/>
                <w:lang w:val="en-US"/>
              </w:rPr>
            </w:pPr>
            <w:r w:rsidRPr="00720707">
              <w:rPr>
                <w:rFonts w:eastAsia="Calibri" w:cstheme="minorHAnsi"/>
                <w:sz w:val="24"/>
                <w:szCs w:val="24"/>
                <w:u w:val="single"/>
                <w:lang w:val="en-US"/>
              </w:rPr>
              <w:t xml:space="preserve">Mental Health Resources in HMP Parc </w:t>
            </w:r>
          </w:p>
          <w:p w14:paraId="2012D6B5" w14:textId="77777777" w:rsidR="00384361" w:rsidRPr="00720707" w:rsidRDefault="00384361" w:rsidP="00384361">
            <w:pPr>
              <w:widowControl w:val="0"/>
              <w:rPr>
                <w:rFonts w:eastAsia="Calibri" w:cstheme="minorHAnsi"/>
                <w:sz w:val="24"/>
                <w:szCs w:val="24"/>
                <w:lang w:val="en-US"/>
              </w:rPr>
            </w:pPr>
            <w:r w:rsidRPr="00720707">
              <w:rPr>
                <w:rFonts w:eastAsia="Calibri" w:cstheme="minorHAnsi"/>
                <w:sz w:val="24"/>
                <w:szCs w:val="24"/>
                <w:lang w:val="en-US"/>
              </w:rPr>
              <w:t xml:space="preserve">Recommendation 2 – The Safeguarding Board </w:t>
            </w:r>
            <w:r w:rsidR="006A59B9" w:rsidRPr="00720707">
              <w:rPr>
                <w:rFonts w:eastAsia="Calibri" w:cstheme="minorHAnsi"/>
                <w:sz w:val="24"/>
                <w:szCs w:val="24"/>
                <w:lang w:val="en-US"/>
              </w:rPr>
              <w:t>should escalate</w:t>
            </w:r>
            <w:r w:rsidRPr="00720707">
              <w:rPr>
                <w:rFonts w:eastAsia="Calibri" w:cstheme="minorHAnsi"/>
                <w:sz w:val="24"/>
                <w:szCs w:val="24"/>
                <w:lang w:val="en-US"/>
              </w:rPr>
              <w:t xml:space="preserve"> the </w:t>
            </w:r>
            <w:r w:rsidR="006A59B9" w:rsidRPr="00720707">
              <w:rPr>
                <w:rFonts w:eastAsia="Calibri" w:cstheme="minorHAnsi"/>
                <w:sz w:val="24"/>
                <w:szCs w:val="24"/>
                <w:lang w:val="en-US"/>
              </w:rPr>
              <w:t xml:space="preserve">lack of resources committed to </w:t>
            </w:r>
            <w:r w:rsidRPr="00720707">
              <w:rPr>
                <w:rFonts w:eastAsia="Calibri" w:cstheme="minorHAnsi"/>
                <w:sz w:val="24"/>
                <w:szCs w:val="24"/>
                <w:lang w:val="en-US"/>
              </w:rPr>
              <w:t xml:space="preserve">mental health support provision for HMP Parc and </w:t>
            </w:r>
            <w:r w:rsidR="00C75BE5" w:rsidRPr="00720707">
              <w:rPr>
                <w:rFonts w:eastAsia="Calibri" w:cstheme="minorHAnsi"/>
                <w:sz w:val="24"/>
                <w:szCs w:val="24"/>
                <w:lang w:val="en-US"/>
              </w:rPr>
              <w:t xml:space="preserve">HMP </w:t>
            </w:r>
            <w:r w:rsidRPr="00720707">
              <w:rPr>
                <w:rFonts w:eastAsia="Calibri" w:cstheme="minorHAnsi"/>
                <w:sz w:val="24"/>
                <w:szCs w:val="24"/>
                <w:lang w:val="en-US"/>
              </w:rPr>
              <w:t>Swansea which serve this local community as highlighted by HM</w:t>
            </w:r>
            <w:r w:rsidR="00C75BE5" w:rsidRPr="00720707">
              <w:rPr>
                <w:rFonts w:eastAsia="Calibri" w:cstheme="minorHAnsi"/>
                <w:sz w:val="24"/>
                <w:szCs w:val="24"/>
                <w:lang w:val="en-US"/>
              </w:rPr>
              <w:t xml:space="preserve"> </w:t>
            </w:r>
            <w:r w:rsidRPr="00720707">
              <w:rPr>
                <w:rFonts w:eastAsia="Calibri" w:cstheme="minorHAnsi"/>
                <w:sz w:val="24"/>
                <w:szCs w:val="24"/>
                <w:lang w:val="en-US"/>
              </w:rPr>
              <w:t>I</w:t>
            </w:r>
            <w:r w:rsidR="00C75BE5" w:rsidRPr="00720707">
              <w:rPr>
                <w:rFonts w:eastAsia="Calibri" w:cstheme="minorHAnsi"/>
                <w:sz w:val="24"/>
                <w:szCs w:val="24"/>
                <w:lang w:val="en-US"/>
              </w:rPr>
              <w:t>nspectorate</w:t>
            </w:r>
            <w:r w:rsidR="006A59B9" w:rsidRPr="00720707">
              <w:rPr>
                <w:rFonts w:eastAsia="Calibri" w:cstheme="minorHAnsi"/>
                <w:sz w:val="24"/>
                <w:szCs w:val="24"/>
                <w:lang w:val="en-US"/>
              </w:rPr>
              <w:t xml:space="preserve"> of prisons. </w:t>
            </w:r>
            <w:r w:rsidRPr="00720707">
              <w:rPr>
                <w:rFonts w:eastAsia="Calibri" w:cstheme="minorHAnsi"/>
                <w:sz w:val="24"/>
                <w:szCs w:val="24"/>
                <w:lang w:val="en-US"/>
              </w:rPr>
              <w:t xml:space="preserve">   </w:t>
            </w:r>
          </w:p>
          <w:p w14:paraId="0DC39295" w14:textId="77777777" w:rsidR="001801F9" w:rsidRPr="00720707" w:rsidRDefault="001801F9" w:rsidP="001801F9">
            <w:pPr>
              <w:widowControl w:val="0"/>
              <w:spacing w:after="0" w:line="240" w:lineRule="auto"/>
              <w:rPr>
                <w:rFonts w:eastAsia="Calibri" w:cstheme="minorHAnsi"/>
                <w:sz w:val="24"/>
                <w:szCs w:val="24"/>
                <w:lang w:val="en-US"/>
              </w:rPr>
            </w:pPr>
          </w:p>
          <w:p w14:paraId="22DB13C8" w14:textId="1902CB84" w:rsidR="001801F9" w:rsidRPr="00720707" w:rsidRDefault="001801F9" w:rsidP="006A59B9">
            <w:pPr>
              <w:widowControl w:val="0"/>
              <w:rPr>
                <w:rFonts w:eastAsia="Calibri" w:cstheme="minorHAnsi"/>
                <w:sz w:val="24"/>
                <w:szCs w:val="24"/>
                <w:u w:val="single"/>
                <w:lang w:val="en-US"/>
              </w:rPr>
            </w:pPr>
            <w:r w:rsidRPr="00720707">
              <w:rPr>
                <w:rFonts w:eastAsia="Calibri" w:cstheme="minorHAnsi"/>
                <w:sz w:val="24"/>
                <w:szCs w:val="24"/>
                <w:u w:val="single"/>
                <w:lang w:val="en-US"/>
              </w:rPr>
              <w:t>Identification of Mental Disorders or Severe Mental Illness</w:t>
            </w:r>
          </w:p>
          <w:p w14:paraId="41BD4B9A" w14:textId="77777777" w:rsidR="004716D9" w:rsidRDefault="006A59B9" w:rsidP="0043227F">
            <w:pPr>
              <w:widowControl w:val="0"/>
              <w:rPr>
                <w:rFonts w:eastAsia="Calibri" w:cstheme="minorHAnsi"/>
                <w:sz w:val="24"/>
                <w:szCs w:val="24"/>
                <w:lang w:val="en-US"/>
              </w:rPr>
            </w:pPr>
            <w:r w:rsidRPr="00720707">
              <w:rPr>
                <w:rFonts w:eastAsia="Calibri" w:cstheme="minorHAnsi"/>
                <w:sz w:val="24"/>
                <w:szCs w:val="24"/>
                <w:lang w:val="en-US"/>
              </w:rPr>
              <w:t>Recommendation 3 – SBU</w:t>
            </w:r>
            <w:r w:rsidR="00AF4F2F" w:rsidRPr="00720707">
              <w:rPr>
                <w:rFonts w:eastAsia="Calibri" w:cstheme="minorHAnsi"/>
                <w:sz w:val="24"/>
                <w:szCs w:val="24"/>
                <w:lang w:val="en-US"/>
              </w:rPr>
              <w:t>HB,</w:t>
            </w:r>
            <w:r w:rsidR="00560AF3">
              <w:rPr>
                <w:rFonts w:eastAsia="Calibri" w:cstheme="minorHAnsi"/>
                <w:sz w:val="24"/>
                <w:szCs w:val="24"/>
                <w:lang w:val="en-US"/>
              </w:rPr>
              <w:t xml:space="preserve"> Cwm Taff Health Board, Bridgend,</w:t>
            </w:r>
            <w:r w:rsidR="00AF4F2F" w:rsidRPr="00720707">
              <w:rPr>
                <w:rFonts w:eastAsia="Calibri" w:cstheme="minorHAnsi"/>
                <w:sz w:val="24"/>
                <w:szCs w:val="24"/>
                <w:lang w:val="en-US"/>
              </w:rPr>
              <w:t xml:space="preserve"> </w:t>
            </w:r>
            <w:r w:rsidRPr="00720707">
              <w:rPr>
                <w:rFonts w:eastAsia="Calibri" w:cstheme="minorHAnsi"/>
                <w:sz w:val="24"/>
                <w:szCs w:val="24"/>
                <w:lang w:val="en-US"/>
              </w:rPr>
              <w:t>NPT &amp; Swansea LA</w:t>
            </w:r>
            <w:r w:rsidR="00720707" w:rsidRPr="00720707">
              <w:rPr>
                <w:rFonts w:eastAsia="Calibri" w:cstheme="minorHAnsi"/>
                <w:sz w:val="24"/>
                <w:szCs w:val="24"/>
                <w:lang w:val="en-US"/>
              </w:rPr>
              <w:t>s</w:t>
            </w:r>
            <w:r w:rsidRPr="00720707">
              <w:rPr>
                <w:rFonts w:eastAsia="Calibri" w:cstheme="minorHAnsi"/>
                <w:sz w:val="24"/>
                <w:szCs w:val="24"/>
                <w:lang w:val="en-US"/>
              </w:rPr>
              <w:t xml:space="preserve"> to review the training of</w:t>
            </w:r>
            <w:r w:rsidR="0043227F" w:rsidRPr="00720707">
              <w:rPr>
                <w:rFonts w:eastAsia="Calibri" w:cstheme="minorHAnsi"/>
                <w:sz w:val="24"/>
                <w:szCs w:val="24"/>
                <w:lang w:val="en-US"/>
              </w:rPr>
              <w:t xml:space="preserve"> professionals involved in the</w:t>
            </w:r>
            <w:r w:rsidR="005E0C66">
              <w:rPr>
                <w:rFonts w:eastAsia="Calibri" w:cstheme="minorHAnsi"/>
                <w:sz w:val="24"/>
                <w:szCs w:val="24"/>
                <w:lang w:val="en-US"/>
              </w:rPr>
              <w:t xml:space="preserve"> assessment,</w:t>
            </w:r>
            <w:r w:rsidR="0043227F" w:rsidRPr="00720707">
              <w:rPr>
                <w:rFonts w:eastAsia="Calibri" w:cstheme="minorHAnsi"/>
                <w:sz w:val="24"/>
                <w:szCs w:val="24"/>
                <w:lang w:val="en-US"/>
              </w:rPr>
              <w:t xml:space="preserve"> identification</w:t>
            </w:r>
            <w:r w:rsidR="00C75BE5" w:rsidRPr="00720707">
              <w:rPr>
                <w:rFonts w:eastAsia="Calibri" w:cstheme="minorHAnsi"/>
                <w:sz w:val="24"/>
                <w:szCs w:val="24"/>
                <w:lang w:val="en-US"/>
              </w:rPr>
              <w:t>,</w:t>
            </w:r>
            <w:r w:rsidR="0043227F" w:rsidRPr="00720707">
              <w:rPr>
                <w:rFonts w:eastAsia="Calibri" w:cstheme="minorHAnsi"/>
                <w:sz w:val="24"/>
                <w:szCs w:val="24"/>
                <w:lang w:val="en-US"/>
              </w:rPr>
              <w:t xml:space="preserve"> treatment</w:t>
            </w:r>
            <w:r w:rsidR="00C75BE5" w:rsidRPr="00720707">
              <w:rPr>
                <w:rFonts w:eastAsia="Calibri" w:cstheme="minorHAnsi"/>
                <w:sz w:val="24"/>
                <w:szCs w:val="24"/>
                <w:lang w:val="en-US"/>
              </w:rPr>
              <w:t xml:space="preserve"> and </w:t>
            </w:r>
            <w:r w:rsidR="0043227F" w:rsidRPr="00720707">
              <w:rPr>
                <w:rFonts w:eastAsia="Calibri" w:cstheme="minorHAnsi"/>
                <w:sz w:val="24"/>
                <w:szCs w:val="24"/>
                <w:lang w:val="en-US"/>
              </w:rPr>
              <w:t>support</w:t>
            </w:r>
            <w:r w:rsidRPr="00720707">
              <w:rPr>
                <w:rFonts w:eastAsia="Calibri" w:cstheme="minorHAnsi"/>
                <w:sz w:val="24"/>
                <w:szCs w:val="24"/>
                <w:lang w:val="en-US"/>
              </w:rPr>
              <w:t xml:space="preserve"> of </w:t>
            </w:r>
            <w:r w:rsidR="00C75BE5" w:rsidRPr="00720707">
              <w:rPr>
                <w:rFonts w:eastAsia="Calibri" w:cstheme="minorHAnsi"/>
                <w:sz w:val="24"/>
                <w:szCs w:val="24"/>
                <w:lang w:val="en-US"/>
              </w:rPr>
              <w:t xml:space="preserve">individuals with </w:t>
            </w:r>
            <w:r w:rsidR="005E0C66">
              <w:rPr>
                <w:rFonts w:eastAsia="Calibri" w:cstheme="minorHAnsi"/>
                <w:sz w:val="24"/>
                <w:szCs w:val="24"/>
                <w:lang w:val="en-US"/>
              </w:rPr>
              <w:t>th</w:t>
            </w:r>
            <w:r w:rsidR="00560AF3">
              <w:rPr>
                <w:rFonts w:eastAsia="Calibri" w:cstheme="minorHAnsi"/>
                <w:sz w:val="24"/>
                <w:szCs w:val="24"/>
                <w:lang w:val="en-US"/>
              </w:rPr>
              <w:t>e</w:t>
            </w:r>
            <w:r w:rsidR="005E0C66">
              <w:rPr>
                <w:rFonts w:eastAsia="Calibri" w:cstheme="minorHAnsi"/>
                <w:sz w:val="24"/>
                <w:szCs w:val="24"/>
                <w:lang w:val="en-US"/>
              </w:rPr>
              <w:t xml:space="preserve"> range of </w:t>
            </w:r>
            <w:r w:rsidRPr="00720707">
              <w:rPr>
                <w:rFonts w:eastAsia="Calibri" w:cstheme="minorHAnsi"/>
                <w:sz w:val="24"/>
                <w:szCs w:val="24"/>
                <w:lang w:val="en-US"/>
              </w:rPr>
              <w:t>men</w:t>
            </w:r>
            <w:r w:rsidR="0043227F" w:rsidRPr="00720707">
              <w:rPr>
                <w:rFonts w:eastAsia="Calibri" w:cstheme="minorHAnsi"/>
                <w:sz w:val="24"/>
                <w:szCs w:val="24"/>
                <w:lang w:val="en-US"/>
              </w:rPr>
              <w:t>tal disorder</w:t>
            </w:r>
            <w:r w:rsidR="005E0C66">
              <w:rPr>
                <w:rFonts w:eastAsia="Calibri" w:cstheme="minorHAnsi"/>
                <w:sz w:val="24"/>
                <w:szCs w:val="24"/>
                <w:lang w:val="en-US"/>
              </w:rPr>
              <w:t>s</w:t>
            </w:r>
            <w:r w:rsidR="004716D9">
              <w:rPr>
                <w:rFonts w:eastAsia="Calibri" w:cstheme="minorHAnsi"/>
                <w:sz w:val="24"/>
                <w:szCs w:val="24"/>
                <w:lang w:val="en-US"/>
              </w:rPr>
              <w:t>.</w:t>
            </w:r>
          </w:p>
          <w:p w14:paraId="203F62DD" w14:textId="77777777" w:rsidR="004716D9" w:rsidRDefault="004716D9" w:rsidP="0043227F">
            <w:pPr>
              <w:widowControl w:val="0"/>
              <w:rPr>
                <w:rFonts w:eastAsia="Calibri" w:cstheme="minorHAnsi"/>
                <w:sz w:val="24"/>
                <w:szCs w:val="24"/>
                <w:lang w:val="en-US"/>
              </w:rPr>
            </w:pPr>
          </w:p>
          <w:p w14:paraId="04AFBF79" w14:textId="77777777" w:rsidR="004716D9" w:rsidRDefault="004716D9" w:rsidP="0043227F">
            <w:pPr>
              <w:widowControl w:val="0"/>
              <w:rPr>
                <w:rFonts w:eastAsia="Calibri" w:cstheme="minorHAnsi"/>
                <w:sz w:val="24"/>
                <w:szCs w:val="24"/>
                <w:u w:val="single"/>
                <w:lang w:val="en-US"/>
              </w:rPr>
            </w:pPr>
            <w:r>
              <w:rPr>
                <w:rFonts w:eastAsia="Calibri" w:cstheme="minorHAnsi"/>
                <w:sz w:val="24"/>
                <w:szCs w:val="24"/>
                <w:u w:val="single"/>
                <w:lang w:val="en-US"/>
              </w:rPr>
              <w:t>I</w:t>
            </w:r>
            <w:r w:rsidRPr="00720707">
              <w:rPr>
                <w:rFonts w:eastAsia="Calibri" w:cstheme="minorHAnsi"/>
                <w:sz w:val="24"/>
                <w:szCs w:val="24"/>
                <w:u w:val="single"/>
                <w:lang w:val="en-US"/>
              </w:rPr>
              <w:t>mpact of the term ‘Malingering’</w:t>
            </w:r>
          </w:p>
          <w:p w14:paraId="1773CD68" w14:textId="5210CF40" w:rsidR="00720707" w:rsidRDefault="004716D9" w:rsidP="0043227F">
            <w:pPr>
              <w:widowControl w:val="0"/>
              <w:rPr>
                <w:rFonts w:eastAsia="Calibri" w:cstheme="minorHAnsi"/>
                <w:sz w:val="24"/>
                <w:szCs w:val="24"/>
                <w:lang w:val="en-US"/>
              </w:rPr>
            </w:pPr>
            <w:r>
              <w:rPr>
                <w:rFonts w:eastAsia="Calibri" w:cstheme="minorHAnsi"/>
                <w:sz w:val="24"/>
                <w:szCs w:val="24"/>
                <w:lang w:val="en-US"/>
              </w:rPr>
              <w:t xml:space="preserve">Recommendation 4 – </w:t>
            </w:r>
            <w:r w:rsidRPr="00505506">
              <w:rPr>
                <w:rFonts w:eastAsia="Calibri" w:cstheme="minorHAnsi"/>
                <w:sz w:val="24"/>
                <w:szCs w:val="24"/>
                <w:lang w:val="en-US"/>
              </w:rPr>
              <w:t>Professionals are required to use patient and person-</w:t>
            </w:r>
            <w:r w:rsidRPr="004716D9">
              <w:rPr>
                <w:rFonts w:eastAsia="Calibri" w:cstheme="minorHAnsi"/>
                <w:sz w:val="24"/>
                <w:szCs w:val="24"/>
              </w:rPr>
              <w:t>centred</w:t>
            </w:r>
            <w:r w:rsidRPr="00505506">
              <w:rPr>
                <w:rFonts w:eastAsia="Calibri" w:cstheme="minorHAnsi"/>
                <w:sz w:val="24"/>
                <w:szCs w:val="24"/>
                <w:lang w:val="en-US"/>
              </w:rPr>
              <w:t xml:space="preserve"> language in their assessment and diagnosis of conditions. Exclusionary or judgmental terminology such as malingering / lifestyle choices, undermine a professional assessment and lead to negative</w:t>
            </w:r>
            <w:r>
              <w:rPr>
                <w:rFonts w:eastAsia="Calibri" w:cstheme="minorHAnsi"/>
                <w:sz w:val="24"/>
                <w:szCs w:val="24"/>
                <w:lang w:val="en-US"/>
              </w:rPr>
              <w:t xml:space="preserve"> connotations.</w:t>
            </w:r>
          </w:p>
          <w:p w14:paraId="4C9C92FF" w14:textId="77777777" w:rsidR="004716D9" w:rsidRPr="00720707" w:rsidRDefault="004716D9" w:rsidP="0043227F">
            <w:pPr>
              <w:widowControl w:val="0"/>
              <w:rPr>
                <w:rFonts w:eastAsia="Calibri" w:cstheme="minorHAnsi"/>
                <w:sz w:val="24"/>
                <w:szCs w:val="24"/>
                <w:lang w:val="en-US"/>
              </w:rPr>
            </w:pPr>
          </w:p>
          <w:p w14:paraId="509BC182" w14:textId="77777777" w:rsidR="001801F9" w:rsidRPr="00720707" w:rsidRDefault="001801F9" w:rsidP="0043227F">
            <w:pPr>
              <w:widowControl w:val="0"/>
              <w:rPr>
                <w:rFonts w:eastAsia="Calibri" w:cstheme="minorHAnsi"/>
                <w:sz w:val="24"/>
                <w:szCs w:val="24"/>
                <w:u w:val="single"/>
                <w:lang w:val="en-US"/>
              </w:rPr>
            </w:pPr>
            <w:r w:rsidRPr="00720707">
              <w:rPr>
                <w:rFonts w:eastAsia="Calibri" w:cstheme="minorHAnsi"/>
                <w:sz w:val="24"/>
                <w:szCs w:val="24"/>
                <w:u w:val="single"/>
                <w:lang w:val="en-US"/>
              </w:rPr>
              <w:t xml:space="preserve">Discharges from Mental Health Act detention February / March 2020 </w:t>
            </w:r>
          </w:p>
          <w:p w14:paraId="025B70F2" w14:textId="4B43CAA3" w:rsidR="0043227F" w:rsidRPr="00720707" w:rsidRDefault="0043227F" w:rsidP="0043227F">
            <w:pPr>
              <w:widowControl w:val="0"/>
              <w:rPr>
                <w:rFonts w:eastAsia="Calibri" w:cstheme="minorHAnsi"/>
                <w:sz w:val="24"/>
                <w:szCs w:val="24"/>
                <w:lang w:val="en-US"/>
              </w:rPr>
            </w:pPr>
            <w:r w:rsidRPr="00720707">
              <w:rPr>
                <w:rFonts w:eastAsia="Calibri" w:cstheme="minorHAnsi"/>
                <w:sz w:val="24"/>
                <w:szCs w:val="24"/>
                <w:lang w:val="en-US"/>
              </w:rPr>
              <w:t xml:space="preserve">Recommendation </w:t>
            </w:r>
            <w:r w:rsidR="004716D9">
              <w:rPr>
                <w:rFonts w:eastAsia="Calibri" w:cstheme="minorHAnsi"/>
                <w:sz w:val="24"/>
                <w:szCs w:val="24"/>
                <w:lang w:val="en-US"/>
              </w:rPr>
              <w:t>5</w:t>
            </w:r>
            <w:r w:rsidRPr="00720707">
              <w:rPr>
                <w:rFonts w:eastAsia="Calibri" w:cstheme="minorHAnsi"/>
                <w:sz w:val="24"/>
                <w:szCs w:val="24"/>
                <w:lang w:val="en-US"/>
              </w:rPr>
              <w:t xml:space="preserve"> </w:t>
            </w:r>
            <w:r w:rsidR="00001644" w:rsidRPr="00720707">
              <w:rPr>
                <w:rFonts w:eastAsia="Calibri" w:cstheme="minorHAnsi"/>
                <w:sz w:val="24"/>
                <w:szCs w:val="24"/>
                <w:lang w:val="en-US"/>
              </w:rPr>
              <w:t>–</w:t>
            </w:r>
            <w:r w:rsidRPr="00720707">
              <w:rPr>
                <w:rFonts w:eastAsia="Calibri" w:cstheme="minorHAnsi"/>
                <w:sz w:val="24"/>
                <w:szCs w:val="24"/>
                <w:lang w:val="en-US"/>
              </w:rPr>
              <w:t xml:space="preserve"> </w:t>
            </w:r>
            <w:r w:rsidR="00001644" w:rsidRPr="00720707">
              <w:rPr>
                <w:rFonts w:eastAsia="Calibri" w:cstheme="minorHAnsi"/>
                <w:sz w:val="24"/>
                <w:szCs w:val="24"/>
                <w:lang w:val="en-US"/>
              </w:rPr>
              <w:t>The Safeguarding Board to request a</w:t>
            </w:r>
            <w:r w:rsidR="00AF4F2F" w:rsidRPr="00720707">
              <w:rPr>
                <w:rFonts w:eastAsia="Calibri" w:cstheme="minorHAnsi"/>
                <w:sz w:val="24"/>
                <w:szCs w:val="24"/>
                <w:lang w:val="en-US"/>
              </w:rPr>
              <w:t xml:space="preserve"> </w:t>
            </w:r>
            <w:r w:rsidR="00001644" w:rsidRPr="00720707">
              <w:rPr>
                <w:rFonts w:eastAsia="Calibri" w:cstheme="minorHAnsi"/>
                <w:sz w:val="24"/>
                <w:szCs w:val="24"/>
                <w:lang w:val="en-US"/>
              </w:rPr>
              <w:t>review</w:t>
            </w:r>
            <w:r w:rsidR="00C75BE5" w:rsidRPr="00720707">
              <w:rPr>
                <w:rFonts w:eastAsia="Calibri" w:cstheme="minorHAnsi"/>
                <w:sz w:val="24"/>
                <w:szCs w:val="24"/>
                <w:lang w:val="en-US"/>
              </w:rPr>
              <w:t xml:space="preserve"> of </w:t>
            </w:r>
            <w:r w:rsidR="00560AF3">
              <w:rPr>
                <w:rFonts w:eastAsia="Calibri" w:cstheme="minorHAnsi"/>
                <w:sz w:val="24"/>
                <w:szCs w:val="24"/>
                <w:lang w:val="en-US"/>
              </w:rPr>
              <w:t>the processes to support safe discharge</w:t>
            </w:r>
            <w:r w:rsidR="00AF4F2F" w:rsidRPr="00720707">
              <w:rPr>
                <w:rFonts w:eastAsia="Calibri" w:cstheme="minorHAnsi"/>
                <w:sz w:val="24"/>
                <w:szCs w:val="24"/>
                <w:lang w:val="en-US"/>
              </w:rPr>
              <w:t>.</w:t>
            </w:r>
          </w:p>
          <w:p w14:paraId="0908A9CB" w14:textId="77777777" w:rsidR="00DD590A" w:rsidRPr="00720707" w:rsidRDefault="00DD590A" w:rsidP="001801F9">
            <w:pPr>
              <w:widowControl w:val="0"/>
              <w:tabs>
                <w:tab w:val="left" w:pos="3120"/>
                <w:tab w:val="center" w:pos="4513"/>
                <w:tab w:val="left" w:pos="4800"/>
                <w:tab w:val="left" w:pos="6480"/>
                <w:tab w:val="left" w:pos="7920"/>
                <w:tab w:val="right" w:pos="9026"/>
              </w:tabs>
              <w:spacing w:after="0" w:line="240" w:lineRule="auto"/>
              <w:rPr>
                <w:rFonts w:eastAsia="Calibri" w:cstheme="minorHAnsi"/>
                <w:sz w:val="24"/>
                <w:szCs w:val="24"/>
                <w:lang w:val="en-US"/>
              </w:rPr>
            </w:pPr>
          </w:p>
          <w:p w14:paraId="2C6674DE" w14:textId="77777777" w:rsidR="00DD590A" w:rsidRPr="00720707" w:rsidRDefault="00C6108A" w:rsidP="00AF4F2F">
            <w:pPr>
              <w:widowControl w:val="0"/>
              <w:tabs>
                <w:tab w:val="left" w:pos="3120"/>
                <w:tab w:val="center" w:pos="4513"/>
                <w:tab w:val="left" w:pos="4800"/>
                <w:tab w:val="left" w:pos="6480"/>
                <w:tab w:val="left" w:pos="7920"/>
                <w:tab w:val="right" w:pos="9026"/>
              </w:tabs>
              <w:rPr>
                <w:rFonts w:eastAsia="Calibri" w:cstheme="minorHAnsi"/>
                <w:sz w:val="24"/>
                <w:szCs w:val="24"/>
                <w:u w:val="single"/>
                <w:lang w:val="en-US"/>
              </w:rPr>
            </w:pPr>
            <w:r w:rsidRPr="00720707">
              <w:rPr>
                <w:rFonts w:eastAsia="Calibri" w:cstheme="minorHAnsi"/>
                <w:sz w:val="24"/>
                <w:szCs w:val="24"/>
                <w:u w:val="single"/>
                <w:lang w:val="en-US"/>
              </w:rPr>
              <w:t xml:space="preserve">Section 117 Aftercare </w:t>
            </w:r>
          </w:p>
          <w:p w14:paraId="719E21E2" w14:textId="447CB76C" w:rsidR="00720707" w:rsidRPr="00720707" w:rsidRDefault="00AF4F2F" w:rsidP="00720707">
            <w:pPr>
              <w:widowControl w:val="0"/>
              <w:rPr>
                <w:rFonts w:eastAsia="Calibri" w:cstheme="minorHAnsi"/>
                <w:sz w:val="24"/>
                <w:szCs w:val="24"/>
                <w:lang w:val="en-US"/>
              </w:rPr>
            </w:pPr>
            <w:r w:rsidRPr="00720707">
              <w:rPr>
                <w:rFonts w:eastAsia="Calibri" w:cstheme="minorHAnsi"/>
                <w:sz w:val="24"/>
                <w:szCs w:val="24"/>
                <w:lang w:val="en-US"/>
              </w:rPr>
              <w:t xml:space="preserve">Recommendation </w:t>
            </w:r>
            <w:r w:rsidR="004716D9">
              <w:rPr>
                <w:rFonts w:eastAsia="Calibri" w:cstheme="minorHAnsi"/>
                <w:sz w:val="24"/>
                <w:szCs w:val="24"/>
                <w:lang w:val="en-US"/>
              </w:rPr>
              <w:t>6</w:t>
            </w:r>
            <w:r w:rsidRPr="00720707">
              <w:rPr>
                <w:rFonts w:eastAsia="Calibri" w:cstheme="minorHAnsi"/>
                <w:sz w:val="24"/>
                <w:szCs w:val="24"/>
                <w:lang w:val="en-US"/>
              </w:rPr>
              <w:t xml:space="preserve"> – SBUHB, </w:t>
            </w:r>
            <w:r w:rsidR="00121878">
              <w:rPr>
                <w:rFonts w:eastAsia="Calibri" w:cstheme="minorHAnsi"/>
                <w:sz w:val="24"/>
                <w:szCs w:val="24"/>
                <w:lang w:val="en-US"/>
              </w:rPr>
              <w:t xml:space="preserve">Cwm Taff Health Board, </w:t>
            </w:r>
            <w:r w:rsidR="0032609E">
              <w:rPr>
                <w:rFonts w:eastAsia="Calibri" w:cstheme="minorHAnsi"/>
                <w:sz w:val="24"/>
                <w:szCs w:val="24"/>
                <w:lang w:val="en-US"/>
              </w:rPr>
              <w:t xml:space="preserve">Bridgend, </w:t>
            </w:r>
            <w:r w:rsidRPr="00720707">
              <w:rPr>
                <w:rFonts w:eastAsia="Calibri" w:cstheme="minorHAnsi"/>
                <w:sz w:val="24"/>
                <w:szCs w:val="24"/>
                <w:lang w:val="en-US"/>
              </w:rPr>
              <w:t>NPT</w:t>
            </w:r>
            <w:r w:rsidR="00720707" w:rsidRPr="00720707">
              <w:rPr>
                <w:rFonts w:eastAsia="Calibri" w:cstheme="minorHAnsi"/>
                <w:sz w:val="24"/>
                <w:szCs w:val="24"/>
                <w:lang w:val="en-US"/>
              </w:rPr>
              <w:t xml:space="preserve"> &amp; </w:t>
            </w:r>
            <w:r w:rsidRPr="00720707">
              <w:rPr>
                <w:rFonts w:eastAsia="Calibri" w:cstheme="minorHAnsi"/>
                <w:sz w:val="24"/>
                <w:szCs w:val="24"/>
                <w:lang w:val="en-US"/>
              </w:rPr>
              <w:t>Swansea LA</w:t>
            </w:r>
            <w:r w:rsidR="00720707" w:rsidRPr="00720707">
              <w:rPr>
                <w:rFonts w:eastAsia="Calibri" w:cstheme="minorHAnsi"/>
                <w:sz w:val="24"/>
                <w:szCs w:val="24"/>
                <w:lang w:val="en-US"/>
              </w:rPr>
              <w:t>s</w:t>
            </w:r>
            <w:r w:rsidRPr="00720707">
              <w:rPr>
                <w:rFonts w:eastAsia="Calibri" w:cstheme="minorHAnsi"/>
                <w:sz w:val="24"/>
                <w:szCs w:val="24"/>
                <w:lang w:val="en-US"/>
              </w:rPr>
              <w:t xml:space="preserve"> to review the training of professionals involved in the identification and delivery of section 117 aftercare </w:t>
            </w:r>
            <w:r w:rsidR="007735A3" w:rsidRPr="00720707">
              <w:rPr>
                <w:rFonts w:eastAsia="Calibri" w:cstheme="minorHAnsi"/>
                <w:sz w:val="24"/>
                <w:szCs w:val="24"/>
                <w:lang w:val="en-US"/>
              </w:rPr>
              <w:t>and review the effectiveness of the current process (including registration)</w:t>
            </w:r>
            <w:r w:rsidR="00720707" w:rsidRPr="00720707">
              <w:rPr>
                <w:rFonts w:eastAsia="Calibri" w:cstheme="minorHAnsi"/>
                <w:sz w:val="24"/>
                <w:szCs w:val="24"/>
                <w:lang w:val="en-US"/>
              </w:rPr>
              <w:t>.</w:t>
            </w:r>
          </w:p>
          <w:p w14:paraId="5A86C35D" w14:textId="77777777" w:rsidR="00C6108A" w:rsidRPr="00720707" w:rsidRDefault="00C6108A" w:rsidP="001801F9">
            <w:pPr>
              <w:widowControl w:val="0"/>
              <w:tabs>
                <w:tab w:val="left" w:pos="3120"/>
                <w:tab w:val="center" w:pos="4513"/>
                <w:tab w:val="left" w:pos="4800"/>
                <w:tab w:val="left" w:pos="6480"/>
                <w:tab w:val="left" w:pos="7920"/>
                <w:tab w:val="right" w:pos="9026"/>
              </w:tabs>
              <w:spacing w:after="0" w:line="240" w:lineRule="auto"/>
              <w:rPr>
                <w:rFonts w:eastAsia="Calibri" w:cstheme="minorHAnsi"/>
                <w:sz w:val="24"/>
                <w:szCs w:val="24"/>
                <w:lang w:val="en-US"/>
              </w:rPr>
            </w:pPr>
          </w:p>
          <w:p w14:paraId="7F01AA5D" w14:textId="77777777" w:rsidR="00C6108A" w:rsidRPr="00720707" w:rsidRDefault="007735A3" w:rsidP="007735A3">
            <w:pPr>
              <w:widowControl w:val="0"/>
              <w:tabs>
                <w:tab w:val="left" w:pos="3120"/>
                <w:tab w:val="center" w:pos="4513"/>
                <w:tab w:val="left" w:pos="4800"/>
                <w:tab w:val="left" w:pos="6480"/>
                <w:tab w:val="left" w:pos="7920"/>
                <w:tab w:val="right" w:pos="9026"/>
              </w:tabs>
              <w:rPr>
                <w:rFonts w:eastAsia="Calibri" w:cstheme="minorHAnsi"/>
                <w:sz w:val="24"/>
                <w:szCs w:val="24"/>
                <w:u w:val="single"/>
                <w:lang w:val="en-US"/>
              </w:rPr>
            </w:pPr>
            <w:r w:rsidRPr="00720707">
              <w:rPr>
                <w:rFonts w:eastAsia="Calibri" w:cstheme="minorHAnsi"/>
                <w:sz w:val="24"/>
                <w:szCs w:val="24"/>
                <w:u w:val="single"/>
                <w:lang w:val="en-US"/>
              </w:rPr>
              <w:t xml:space="preserve">Staff Health and </w:t>
            </w:r>
            <w:r w:rsidR="00C6108A" w:rsidRPr="00720707">
              <w:rPr>
                <w:rFonts w:eastAsia="Calibri" w:cstheme="minorHAnsi"/>
                <w:sz w:val="24"/>
                <w:szCs w:val="24"/>
                <w:u w:val="single"/>
                <w:lang w:val="en-US"/>
              </w:rPr>
              <w:t xml:space="preserve">Safety </w:t>
            </w:r>
          </w:p>
          <w:p w14:paraId="7DF19AFB" w14:textId="26E453F9" w:rsidR="007735A3" w:rsidRPr="00720707" w:rsidRDefault="007735A3" w:rsidP="007735A3">
            <w:pPr>
              <w:widowControl w:val="0"/>
              <w:tabs>
                <w:tab w:val="left" w:pos="3120"/>
                <w:tab w:val="center" w:pos="4513"/>
                <w:tab w:val="left" w:pos="4800"/>
                <w:tab w:val="left" w:pos="6480"/>
                <w:tab w:val="left" w:pos="7920"/>
                <w:tab w:val="right" w:pos="9026"/>
              </w:tabs>
              <w:rPr>
                <w:rFonts w:eastAsia="Calibri" w:cstheme="minorHAnsi"/>
                <w:sz w:val="24"/>
                <w:szCs w:val="24"/>
                <w:lang w:val="en-US"/>
              </w:rPr>
            </w:pPr>
            <w:r w:rsidRPr="00720707">
              <w:rPr>
                <w:rFonts w:eastAsia="Calibri" w:cstheme="minorHAnsi"/>
                <w:sz w:val="24"/>
                <w:szCs w:val="24"/>
                <w:lang w:val="en-US"/>
              </w:rPr>
              <w:lastRenderedPageBreak/>
              <w:t xml:space="preserve">Recommendation </w:t>
            </w:r>
            <w:r w:rsidR="004716D9">
              <w:rPr>
                <w:rFonts w:eastAsia="Calibri" w:cstheme="minorHAnsi"/>
                <w:sz w:val="24"/>
                <w:szCs w:val="24"/>
                <w:lang w:val="en-US"/>
              </w:rPr>
              <w:t>7</w:t>
            </w:r>
            <w:r w:rsidRPr="00720707">
              <w:rPr>
                <w:rFonts w:eastAsia="Calibri" w:cstheme="minorHAnsi"/>
                <w:sz w:val="24"/>
                <w:szCs w:val="24"/>
                <w:lang w:val="en-US"/>
              </w:rPr>
              <w:t xml:space="preserve"> – SBUHB, </w:t>
            </w:r>
            <w:r w:rsidR="0032609E">
              <w:rPr>
                <w:rFonts w:eastAsia="Calibri" w:cstheme="minorHAnsi"/>
                <w:sz w:val="24"/>
                <w:szCs w:val="24"/>
                <w:lang w:val="en-US"/>
              </w:rPr>
              <w:t>Cwm Taff Health Board, Bridgend, NPT</w:t>
            </w:r>
            <w:r w:rsidRPr="00720707">
              <w:rPr>
                <w:rFonts w:eastAsia="Calibri" w:cstheme="minorHAnsi"/>
                <w:sz w:val="24"/>
                <w:szCs w:val="24"/>
                <w:lang w:val="en-US"/>
              </w:rPr>
              <w:t xml:space="preserve"> and </w:t>
            </w:r>
            <w:r w:rsidR="0032609E">
              <w:rPr>
                <w:rFonts w:eastAsia="Calibri" w:cstheme="minorHAnsi"/>
                <w:sz w:val="24"/>
                <w:szCs w:val="24"/>
                <w:lang w:val="en-US"/>
              </w:rPr>
              <w:t xml:space="preserve">Swansea </w:t>
            </w:r>
            <w:r w:rsidRPr="00720707">
              <w:rPr>
                <w:rFonts w:eastAsia="Calibri" w:cstheme="minorHAnsi"/>
                <w:sz w:val="24"/>
                <w:szCs w:val="24"/>
                <w:lang w:val="en-US"/>
              </w:rPr>
              <w:t xml:space="preserve">LAs to </w:t>
            </w:r>
            <w:r w:rsidR="0032609E">
              <w:rPr>
                <w:rFonts w:eastAsia="Calibri" w:cstheme="minorHAnsi"/>
                <w:sz w:val="24"/>
                <w:szCs w:val="24"/>
                <w:lang w:val="en-US"/>
              </w:rPr>
              <w:t>ensure that</w:t>
            </w:r>
            <w:r w:rsidR="00460537">
              <w:rPr>
                <w:rFonts w:eastAsia="Calibri" w:cstheme="minorHAnsi"/>
                <w:sz w:val="24"/>
                <w:szCs w:val="24"/>
                <w:lang w:val="en-US"/>
              </w:rPr>
              <w:t xml:space="preserve"> there</w:t>
            </w:r>
            <w:r w:rsidR="0032609E">
              <w:rPr>
                <w:rFonts w:eastAsia="Calibri" w:cstheme="minorHAnsi"/>
                <w:sz w:val="24"/>
                <w:szCs w:val="24"/>
                <w:lang w:val="en-US"/>
              </w:rPr>
              <w:t xml:space="preserve"> is</w:t>
            </w:r>
            <w:r w:rsidR="00460537">
              <w:rPr>
                <w:rFonts w:eastAsia="Calibri" w:cstheme="minorHAnsi"/>
                <w:sz w:val="24"/>
                <w:szCs w:val="24"/>
                <w:lang w:val="en-US"/>
              </w:rPr>
              <w:t xml:space="preserve"> effective communication (verbal/written)</w:t>
            </w:r>
            <w:r w:rsidR="0032609E">
              <w:rPr>
                <w:rFonts w:eastAsia="Calibri" w:cstheme="minorHAnsi"/>
                <w:sz w:val="24"/>
                <w:szCs w:val="24"/>
                <w:lang w:val="en-US"/>
              </w:rPr>
              <w:t xml:space="preserve"> to </w:t>
            </w:r>
            <w:r w:rsidR="00460537">
              <w:rPr>
                <w:rFonts w:eastAsia="Calibri" w:cstheme="minorHAnsi"/>
                <w:sz w:val="24"/>
                <w:szCs w:val="24"/>
                <w:lang w:val="en-US"/>
              </w:rPr>
              <w:t xml:space="preserve">manage the risk appropriate to </w:t>
            </w:r>
            <w:r w:rsidR="0032609E">
              <w:rPr>
                <w:rFonts w:eastAsia="Calibri" w:cstheme="minorHAnsi"/>
                <w:sz w:val="24"/>
                <w:szCs w:val="24"/>
                <w:lang w:val="en-US"/>
              </w:rPr>
              <w:t xml:space="preserve">the environment </w:t>
            </w:r>
            <w:r w:rsidRPr="00720707">
              <w:rPr>
                <w:rFonts w:eastAsia="Calibri" w:cstheme="minorHAnsi"/>
                <w:sz w:val="24"/>
                <w:szCs w:val="24"/>
                <w:lang w:val="en-US"/>
              </w:rPr>
              <w:t>to protect the health and safety of staff.</w:t>
            </w:r>
          </w:p>
          <w:p w14:paraId="38D39049" w14:textId="77777777" w:rsidR="00C6108A" w:rsidRPr="00720707" w:rsidRDefault="00C6108A" w:rsidP="001801F9">
            <w:pPr>
              <w:widowControl w:val="0"/>
              <w:tabs>
                <w:tab w:val="left" w:pos="3120"/>
                <w:tab w:val="center" w:pos="4513"/>
                <w:tab w:val="left" w:pos="4800"/>
                <w:tab w:val="left" w:pos="6480"/>
                <w:tab w:val="left" w:pos="7920"/>
                <w:tab w:val="right" w:pos="9026"/>
              </w:tabs>
              <w:spacing w:after="0" w:line="240" w:lineRule="auto"/>
              <w:rPr>
                <w:rFonts w:eastAsia="Calibri" w:cstheme="minorHAnsi"/>
                <w:sz w:val="24"/>
                <w:szCs w:val="24"/>
                <w:lang w:val="en-US"/>
              </w:rPr>
            </w:pPr>
          </w:p>
          <w:p w14:paraId="27531929" w14:textId="77777777" w:rsidR="00C6108A" w:rsidRPr="00720707" w:rsidRDefault="00C6108A" w:rsidP="007735A3">
            <w:pPr>
              <w:widowControl w:val="0"/>
              <w:tabs>
                <w:tab w:val="left" w:pos="3120"/>
                <w:tab w:val="center" w:pos="4513"/>
                <w:tab w:val="left" w:pos="4800"/>
                <w:tab w:val="left" w:pos="6480"/>
                <w:tab w:val="left" w:pos="7920"/>
                <w:tab w:val="right" w:pos="9026"/>
              </w:tabs>
              <w:rPr>
                <w:rFonts w:eastAsia="Calibri" w:cstheme="minorHAnsi"/>
                <w:sz w:val="24"/>
                <w:szCs w:val="24"/>
                <w:u w:val="single"/>
                <w:lang w:val="en-US"/>
              </w:rPr>
            </w:pPr>
            <w:bookmarkStart w:id="0" w:name="_Hlk189571564"/>
            <w:bookmarkStart w:id="1" w:name="_Hlk189571600"/>
            <w:r w:rsidRPr="00720707">
              <w:rPr>
                <w:rFonts w:eastAsia="Calibri" w:cstheme="minorHAnsi"/>
                <w:sz w:val="24"/>
                <w:szCs w:val="24"/>
                <w:u w:val="single"/>
                <w:lang w:val="en-US"/>
              </w:rPr>
              <w:t xml:space="preserve">Better understanding of legal lawful information sharing </w:t>
            </w:r>
          </w:p>
          <w:p w14:paraId="39F90F2A" w14:textId="1B89296F" w:rsidR="00AE5C78" w:rsidRPr="00720707" w:rsidRDefault="007735A3" w:rsidP="00AE5C78">
            <w:pPr>
              <w:rPr>
                <w:rFonts w:cstheme="minorHAnsi"/>
                <w:sz w:val="24"/>
                <w:szCs w:val="24"/>
              </w:rPr>
            </w:pPr>
            <w:bookmarkStart w:id="2" w:name="_Hlk189570673"/>
            <w:r w:rsidRPr="00720707">
              <w:rPr>
                <w:rFonts w:eastAsia="Calibri" w:cstheme="minorHAnsi"/>
                <w:sz w:val="24"/>
                <w:szCs w:val="24"/>
                <w:lang w:val="en-US"/>
              </w:rPr>
              <w:t xml:space="preserve">Recommendation </w:t>
            </w:r>
            <w:r w:rsidR="004716D9">
              <w:rPr>
                <w:rFonts w:eastAsia="Calibri" w:cstheme="minorHAnsi"/>
                <w:sz w:val="24"/>
                <w:szCs w:val="24"/>
                <w:lang w:val="en-US"/>
              </w:rPr>
              <w:t>8</w:t>
            </w:r>
            <w:r w:rsidRPr="00720707">
              <w:rPr>
                <w:rFonts w:eastAsia="Calibri" w:cstheme="minorHAnsi"/>
                <w:sz w:val="24"/>
                <w:szCs w:val="24"/>
                <w:lang w:val="en-US"/>
              </w:rPr>
              <w:t xml:space="preserve"> </w:t>
            </w:r>
            <w:r w:rsidR="00AE5C78" w:rsidRPr="00266A7D">
              <w:rPr>
                <w:rFonts w:eastAsia="Calibri" w:cstheme="minorHAnsi"/>
                <w:sz w:val="24"/>
                <w:szCs w:val="24"/>
                <w:lang w:val="en-US"/>
              </w:rPr>
              <w:t>–</w:t>
            </w:r>
            <w:r w:rsidRPr="00266A7D">
              <w:rPr>
                <w:rFonts w:eastAsia="Calibri" w:cstheme="minorHAnsi"/>
                <w:sz w:val="24"/>
                <w:szCs w:val="24"/>
                <w:lang w:val="en-US"/>
              </w:rPr>
              <w:t xml:space="preserve"> </w:t>
            </w:r>
            <w:r w:rsidR="0085435C" w:rsidRPr="00266A7D">
              <w:rPr>
                <w:rFonts w:eastAsia="Calibri" w:cstheme="minorHAnsi"/>
                <w:sz w:val="24"/>
                <w:szCs w:val="24"/>
                <w:lang w:val="en-US"/>
              </w:rPr>
              <w:t>All agencies</w:t>
            </w:r>
            <w:r w:rsidR="00AE5C78" w:rsidRPr="00720707">
              <w:rPr>
                <w:rFonts w:eastAsia="Calibri" w:cstheme="minorHAnsi"/>
                <w:sz w:val="24"/>
                <w:szCs w:val="24"/>
                <w:lang w:val="en-US"/>
              </w:rPr>
              <w:t xml:space="preserve"> to raise professionals awareness how to share </w:t>
            </w:r>
            <w:r w:rsidR="00AE5C78" w:rsidRPr="00720707">
              <w:rPr>
                <w:rFonts w:cstheme="minorHAnsi"/>
                <w:sz w:val="24"/>
                <w:szCs w:val="24"/>
              </w:rPr>
              <w:t xml:space="preserve">information under the support of Information Sharing and processing legislation of </w:t>
            </w:r>
            <w:hyperlink r:id="rId11" w:history="1">
              <w:r w:rsidR="00AE5C78" w:rsidRPr="00720707">
                <w:rPr>
                  <w:rStyle w:val="Hyperlink"/>
                  <w:rFonts w:cstheme="minorHAnsi"/>
                  <w:sz w:val="24"/>
                  <w:szCs w:val="24"/>
                </w:rPr>
                <w:t>Section 115 Crime and Disorder Act 1998</w:t>
              </w:r>
            </w:hyperlink>
            <w:r w:rsidR="00AE5C78" w:rsidRPr="00720707">
              <w:rPr>
                <w:rFonts w:cstheme="minorHAnsi"/>
                <w:sz w:val="24"/>
                <w:szCs w:val="24"/>
              </w:rPr>
              <w:t xml:space="preserve"> and </w:t>
            </w:r>
            <w:hyperlink r:id="rId12" w:history="1">
              <w:r w:rsidR="00AE5C78" w:rsidRPr="00720707">
                <w:rPr>
                  <w:rStyle w:val="Hyperlink"/>
                  <w:rFonts w:cstheme="minorHAnsi"/>
                  <w:sz w:val="24"/>
                  <w:szCs w:val="24"/>
                </w:rPr>
                <w:t>Schedule 2, paragraph 2(1) Data Protection Act 2018</w:t>
              </w:r>
            </w:hyperlink>
            <w:r w:rsidR="00AE5C78" w:rsidRPr="00720707">
              <w:rPr>
                <w:rFonts w:cstheme="minorHAnsi"/>
                <w:sz w:val="24"/>
                <w:szCs w:val="24"/>
              </w:rPr>
              <w:t>. Information shared with the Regional Safeguarding Board is required to facilitate case reviews, audits, thematic reviews and investigations as set out under Regulation 4 of the Safeguarding Boards (Functions and Procedures)</w:t>
            </w:r>
            <w:r w:rsidR="00720707" w:rsidRPr="00720707">
              <w:rPr>
                <w:rFonts w:cstheme="minorHAnsi"/>
                <w:sz w:val="24"/>
                <w:szCs w:val="24"/>
              </w:rPr>
              <w:t xml:space="preserve"> </w:t>
            </w:r>
            <w:r w:rsidR="00AE5C78" w:rsidRPr="00720707">
              <w:rPr>
                <w:rFonts w:cstheme="minorHAnsi"/>
                <w:sz w:val="24"/>
                <w:szCs w:val="24"/>
              </w:rPr>
              <w:t>(Wales) Regulations 2015.</w:t>
            </w:r>
          </w:p>
          <w:bookmarkEnd w:id="2"/>
          <w:p w14:paraId="22C78CDC" w14:textId="77777777" w:rsidR="00C6108A" w:rsidRPr="00720707" w:rsidRDefault="00C6108A" w:rsidP="00C6108A">
            <w:pPr>
              <w:pStyle w:val="ListParagraph"/>
              <w:rPr>
                <w:rFonts w:eastAsia="Calibri" w:cstheme="minorHAnsi"/>
                <w:sz w:val="24"/>
                <w:szCs w:val="24"/>
                <w:lang w:val="en-US"/>
              </w:rPr>
            </w:pPr>
          </w:p>
          <w:p w14:paraId="5C739C27" w14:textId="77777777" w:rsidR="00DD590A" w:rsidRPr="00720707" w:rsidRDefault="00C6108A" w:rsidP="007735A3">
            <w:pPr>
              <w:widowControl w:val="0"/>
              <w:tabs>
                <w:tab w:val="left" w:pos="3120"/>
                <w:tab w:val="center" w:pos="4513"/>
                <w:tab w:val="left" w:pos="4800"/>
                <w:tab w:val="left" w:pos="6480"/>
                <w:tab w:val="left" w:pos="7920"/>
                <w:tab w:val="right" w:pos="9026"/>
              </w:tabs>
              <w:rPr>
                <w:rFonts w:eastAsia="Calibri" w:cstheme="minorHAnsi"/>
                <w:sz w:val="24"/>
                <w:szCs w:val="24"/>
                <w:u w:val="single"/>
                <w:lang w:val="en-US"/>
              </w:rPr>
            </w:pPr>
            <w:r w:rsidRPr="00720707">
              <w:rPr>
                <w:rFonts w:eastAsia="Calibri" w:cstheme="minorHAnsi"/>
                <w:sz w:val="24"/>
                <w:szCs w:val="24"/>
                <w:u w:val="single"/>
                <w:lang w:val="en-US"/>
              </w:rPr>
              <w:t xml:space="preserve">Requirement to engage and attend Multi Agency Public Protection Arrangements </w:t>
            </w:r>
          </w:p>
          <w:p w14:paraId="0CCABDAD" w14:textId="58A3A11E" w:rsidR="00C6108A" w:rsidRPr="00DF2AA7" w:rsidRDefault="007735A3" w:rsidP="00DF2AA7">
            <w:pPr>
              <w:pStyle w:val="NormalWeb"/>
              <w:spacing w:line="280" w:lineRule="exact"/>
              <w:rPr>
                <w:rFonts w:asciiTheme="minorHAnsi" w:eastAsia="Calibri" w:hAnsiTheme="minorHAnsi" w:cstheme="minorHAnsi"/>
                <w:lang w:val="en-US"/>
              </w:rPr>
            </w:pPr>
            <w:r w:rsidRPr="00266A7D">
              <w:rPr>
                <w:rFonts w:asciiTheme="minorHAnsi" w:eastAsia="Calibri" w:hAnsiTheme="minorHAnsi" w:cstheme="minorHAnsi"/>
                <w:lang w:val="en-US"/>
              </w:rPr>
              <w:t xml:space="preserve">Recommendation </w:t>
            </w:r>
            <w:r w:rsidR="004716D9" w:rsidRPr="00266A7D">
              <w:rPr>
                <w:rFonts w:asciiTheme="minorHAnsi" w:eastAsia="Calibri" w:hAnsiTheme="minorHAnsi" w:cstheme="minorHAnsi"/>
                <w:lang w:val="en-US"/>
              </w:rPr>
              <w:t>9</w:t>
            </w:r>
            <w:r w:rsidRPr="00266A7D">
              <w:rPr>
                <w:rFonts w:asciiTheme="minorHAnsi" w:eastAsia="Calibri" w:hAnsiTheme="minorHAnsi" w:cstheme="minorHAnsi"/>
                <w:lang w:val="en-US"/>
              </w:rPr>
              <w:t xml:space="preserve"> </w:t>
            </w:r>
            <w:r w:rsidR="00731416" w:rsidRPr="00266A7D">
              <w:rPr>
                <w:rFonts w:asciiTheme="minorHAnsi" w:eastAsia="Calibri" w:hAnsiTheme="minorHAnsi" w:cstheme="minorHAnsi"/>
                <w:lang w:val="en-US"/>
              </w:rPr>
              <w:t>–</w:t>
            </w:r>
            <w:r w:rsidRPr="00266A7D">
              <w:rPr>
                <w:rFonts w:asciiTheme="minorHAnsi" w:eastAsia="Calibri" w:hAnsiTheme="minorHAnsi" w:cstheme="minorHAnsi"/>
                <w:lang w:val="en-US"/>
              </w:rPr>
              <w:t xml:space="preserve"> </w:t>
            </w:r>
            <w:r w:rsidR="00DF2AA7" w:rsidRPr="00266A7D">
              <w:rPr>
                <w:rFonts w:asciiTheme="minorHAnsi" w:eastAsia="Calibri" w:hAnsiTheme="minorHAnsi" w:cstheme="minorHAnsi"/>
                <w:lang w:val="en-US"/>
              </w:rPr>
              <w:t xml:space="preserve">All agencies to raise staff awareness of their statutory responsibilities under MAPPA and duty to cooperate as per </w:t>
            </w:r>
            <w:r w:rsidR="00DF2AA7" w:rsidRPr="00266A7D">
              <w:rPr>
                <w:rStyle w:val="Strong"/>
                <w:rFonts w:asciiTheme="minorHAnsi" w:hAnsiTheme="minorHAnsi" w:cstheme="minorHAnsi"/>
                <w:b w:val="0"/>
                <w:bCs w:val="0"/>
              </w:rPr>
              <w:t>Section</w:t>
            </w:r>
            <w:r w:rsidR="00DF2AA7" w:rsidRPr="00266A7D">
              <w:rPr>
                <w:rFonts w:asciiTheme="minorHAnsi" w:hAnsiTheme="minorHAnsi" w:cstheme="minorHAnsi"/>
                <w:b/>
                <w:bCs/>
              </w:rPr>
              <w:t xml:space="preserve"> </w:t>
            </w:r>
            <w:r w:rsidR="00DF2AA7" w:rsidRPr="00266A7D">
              <w:rPr>
                <w:rStyle w:val="Strong"/>
                <w:rFonts w:asciiTheme="minorHAnsi" w:hAnsiTheme="minorHAnsi" w:cstheme="minorHAnsi"/>
                <w:b w:val="0"/>
                <w:bCs w:val="0"/>
              </w:rPr>
              <w:t>325 (3 &amp; 4)</w:t>
            </w:r>
            <w:r w:rsidR="00DF2AA7" w:rsidRPr="00266A7D">
              <w:rPr>
                <w:rFonts w:asciiTheme="minorHAnsi" w:hAnsiTheme="minorHAnsi" w:cstheme="minorHAnsi"/>
              </w:rPr>
              <w:t xml:space="preserve"> of the Criminal Justice Act 2003. </w:t>
            </w:r>
            <w:hyperlink r:id="rId13" w:history="1">
              <w:r w:rsidR="00DF2AA7" w:rsidRPr="00266A7D">
                <w:rPr>
                  <w:rStyle w:val="Hyperlink"/>
                  <w:rFonts w:asciiTheme="minorHAnsi" w:hAnsiTheme="minorHAnsi" w:cstheme="minorHAnsi"/>
                </w:rPr>
                <w:t>MAPPA Guidance</w:t>
              </w:r>
            </w:hyperlink>
            <w:r w:rsidR="00DF2AA7" w:rsidRPr="00266A7D">
              <w:rPr>
                <w:rFonts w:asciiTheme="minorHAnsi" w:hAnsiTheme="minorHAnsi" w:cstheme="minorHAnsi"/>
              </w:rPr>
              <w:t>.</w:t>
            </w:r>
            <w:bookmarkEnd w:id="0"/>
            <w:bookmarkEnd w:id="1"/>
          </w:p>
        </w:tc>
      </w:tr>
    </w:tbl>
    <w:p w14:paraId="71E8EC2E" w14:textId="77777777" w:rsidR="00DD590A" w:rsidRPr="00B07464" w:rsidRDefault="00DD590A" w:rsidP="00DD590A">
      <w:pPr>
        <w:widowControl w:val="0"/>
        <w:spacing w:after="0" w:line="240" w:lineRule="auto"/>
        <w:ind w:left="1985"/>
        <w:rPr>
          <w:rFonts w:ascii="Arial" w:eastAsia="Calibri" w:hAnsi="Arial" w:cs="Arial"/>
          <w:b/>
          <w:i/>
          <w:lang w:val="en-US"/>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02"/>
        <w:gridCol w:w="2551"/>
        <w:gridCol w:w="1980"/>
        <w:gridCol w:w="430"/>
        <w:gridCol w:w="2270"/>
      </w:tblGrid>
      <w:tr w:rsidR="00DD590A" w:rsidRPr="00B07464" w14:paraId="5E900C11" w14:textId="77777777" w:rsidTr="00B07464">
        <w:trPr>
          <w:jc w:val="center"/>
        </w:trPr>
        <w:tc>
          <w:tcPr>
            <w:tcW w:w="9353"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0FB99B86" w14:textId="77777777" w:rsidR="00DD590A" w:rsidRPr="00B07464" w:rsidRDefault="00DD590A" w:rsidP="00B07464">
            <w:pPr>
              <w:widowControl w:val="0"/>
              <w:spacing w:after="0" w:line="240" w:lineRule="auto"/>
              <w:ind w:left="-108"/>
              <w:jc w:val="center"/>
              <w:rPr>
                <w:rFonts w:ascii="Arial" w:eastAsia="Calibri" w:hAnsi="Arial" w:cs="Arial"/>
                <w:b/>
                <w:lang w:val="en-US"/>
              </w:rPr>
            </w:pPr>
            <w:r w:rsidRPr="00B07464">
              <w:rPr>
                <w:rFonts w:ascii="Arial" w:eastAsia="Calibri" w:hAnsi="Arial" w:cs="Arial"/>
                <w:b/>
                <w:lang w:val="en-US"/>
              </w:rPr>
              <w:t>Statement by Reviewer(s)</w:t>
            </w:r>
          </w:p>
        </w:tc>
      </w:tr>
      <w:tr w:rsidR="00DD590A" w:rsidRPr="00B07464" w14:paraId="29D77312" w14:textId="77777777" w:rsidTr="00C9610F">
        <w:trPr>
          <w:trHeight w:val="382"/>
          <w:jc w:val="center"/>
        </w:trPr>
        <w:tc>
          <w:tcPr>
            <w:tcW w:w="2122" w:type="dxa"/>
            <w:gridSpan w:val="2"/>
            <w:tcBorders>
              <w:top w:val="single" w:sz="4" w:space="0" w:color="auto"/>
              <w:left w:val="single" w:sz="4" w:space="0" w:color="auto"/>
              <w:bottom w:val="single" w:sz="4" w:space="0" w:color="auto"/>
              <w:right w:val="single" w:sz="4" w:space="0" w:color="auto"/>
            </w:tcBorders>
          </w:tcPr>
          <w:p w14:paraId="3DA7AC00" w14:textId="77777777" w:rsidR="00C9610F" w:rsidRDefault="00C9610F"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572BBE58" w14:textId="647E47FA" w:rsidR="00DD590A"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1</w:t>
            </w:r>
          </w:p>
          <w:p w14:paraId="050E8C13" w14:textId="77777777" w:rsidR="00620CDB" w:rsidRDefault="00620CDB"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4EEE915F" w14:textId="77777777" w:rsidR="00DD590A" w:rsidRPr="00B07464" w:rsidRDefault="00DD590A" w:rsidP="00C9610F">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c>
          <w:tcPr>
            <w:tcW w:w="2551" w:type="dxa"/>
            <w:tcBorders>
              <w:top w:val="single" w:sz="4" w:space="0" w:color="auto"/>
              <w:left w:val="single" w:sz="4" w:space="0" w:color="auto"/>
              <w:bottom w:val="single" w:sz="4" w:space="0" w:color="auto"/>
              <w:right w:val="single" w:sz="4" w:space="0" w:color="auto"/>
            </w:tcBorders>
          </w:tcPr>
          <w:p w14:paraId="18482352" w14:textId="77777777" w:rsidR="00620CDB" w:rsidRPr="00C9610F" w:rsidRDefault="00620CDB" w:rsidP="00DD590A">
            <w:pPr>
              <w:widowControl w:val="0"/>
              <w:tabs>
                <w:tab w:val="left" w:pos="3120"/>
                <w:tab w:val="center" w:pos="4513"/>
                <w:tab w:val="left" w:pos="4800"/>
                <w:tab w:val="left" w:pos="6480"/>
                <w:tab w:val="left" w:pos="7920"/>
                <w:tab w:val="right" w:pos="9026"/>
              </w:tabs>
              <w:spacing w:after="0" w:line="240" w:lineRule="auto"/>
              <w:rPr>
                <w:rFonts w:ascii="Comic Sans MS" w:eastAsia="Calibri" w:hAnsi="Comic Sans MS" w:cs="Arial"/>
                <w:lang w:val="en-US"/>
              </w:rPr>
            </w:pPr>
          </w:p>
          <w:p w14:paraId="1799946D" w14:textId="77777777" w:rsidR="00C9610F" w:rsidRPr="00B07464" w:rsidRDefault="00620CDB" w:rsidP="00C9610F">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C9610F">
              <w:rPr>
                <w:rFonts w:ascii="Comic Sans MS" w:eastAsia="Calibri" w:hAnsi="Comic Sans MS" w:cs="Arial"/>
                <w:lang w:val="en-US"/>
              </w:rPr>
              <w:t xml:space="preserve"> </w:t>
            </w:r>
            <w:r w:rsidR="00C9610F">
              <w:rPr>
                <w:rFonts w:ascii="Arial" w:eastAsia="Calibri" w:hAnsi="Arial" w:cs="Arial"/>
                <w:b/>
                <w:lang w:val="en-US"/>
              </w:rPr>
              <w:t>Steve Chamberlain</w:t>
            </w:r>
          </w:p>
          <w:p w14:paraId="314BCBBE" w14:textId="79DFDF47" w:rsidR="00DD590A" w:rsidRPr="00C9610F" w:rsidRDefault="00DD590A" w:rsidP="00DD590A">
            <w:pPr>
              <w:widowControl w:val="0"/>
              <w:tabs>
                <w:tab w:val="left" w:pos="3120"/>
                <w:tab w:val="center" w:pos="4513"/>
                <w:tab w:val="left" w:pos="4800"/>
                <w:tab w:val="left" w:pos="6480"/>
                <w:tab w:val="left" w:pos="7920"/>
                <w:tab w:val="right" w:pos="9026"/>
              </w:tabs>
              <w:spacing w:after="0" w:line="240" w:lineRule="auto"/>
              <w:rPr>
                <w:rFonts w:ascii="Comic Sans MS" w:eastAsia="Calibri" w:hAnsi="Comic Sans MS" w:cs="Arial"/>
                <w:lang w:val="en-US"/>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0544A55" w14:textId="77777777" w:rsidR="00C9610F"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 xml:space="preserve">REVIEWER 2 </w:t>
            </w:r>
          </w:p>
          <w:p w14:paraId="43D416E2" w14:textId="21936BDC"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tc>
        <w:tc>
          <w:tcPr>
            <w:tcW w:w="2270" w:type="dxa"/>
            <w:tcBorders>
              <w:top w:val="single" w:sz="4" w:space="0" w:color="auto"/>
              <w:left w:val="single" w:sz="4" w:space="0" w:color="auto"/>
              <w:bottom w:val="single" w:sz="4" w:space="0" w:color="auto"/>
              <w:right w:val="single" w:sz="4" w:space="0" w:color="auto"/>
            </w:tcBorders>
            <w:vAlign w:val="center"/>
          </w:tcPr>
          <w:p w14:paraId="3A7EB44B" w14:textId="1465D46F" w:rsidR="00DD590A" w:rsidRPr="00C9610F" w:rsidRDefault="00C9610F" w:rsidP="00DD590A">
            <w:pPr>
              <w:widowControl w:val="0"/>
              <w:tabs>
                <w:tab w:val="left" w:pos="3120"/>
                <w:tab w:val="center" w:pos="4513"/>
                <w:tab w:val="left" w:pos="4800"/>
                <w:tab w:val="left" w:pos="6480"/>
                <w:tab w:val="left" w:pos="7920"/>
                <w:tab w:val="right" w:pos="9026"/>
              </w:tabs>
              <w:spacing w:after="0" w:line="240" w:lineRule="auto"/>
              <w:rPr>
                <w:rFonts w:ascii="Comic Sans MS" w:eastAsia="Calibri" w:hAnsi="Comic Sans MS" w:cs="Arial"/>
                <w:lang w:val="en-US"/>
              </w:rPr>
            </w:pPr>
            <w:r w:rsidRPr="00620CDB">
              <w:rPr>
                <w:rFonts w:ascii="Arial" w:eastAsia="Calibri" w:hAnsi="Arial" w:cs="Arial"/>
                <w:b/>
                <w:iCs/>
                <w:lang w:val="en-US"/>
              </w:rPr>
              <w:t>Lisa Morris</w:t>
            </w:r>
          </w:p>
        </w:tc>
      </w:tr>
      <w:tr w:rsidR="00DD590A" w:rsidRPr="00B07464" w14:paraId="5475F941" w14:textId="77777777" w:rsidTr="00B07464">
        <w:trPr>
          <w:trHeight w:val="335"/>
          <w:jc w:val="center"/>
        </w:trPr>
        <w:tc>
          <w:tcPr>
            <w:tcW w:w="4673" w:type="dxa"/>
            <w:gridSpan w:val="3"/>
            <w:tcBorders>
              <w:top w:val="single" w:sz="4" w:space="0" w:color="auto"/>
              <w:left w:val="single" w:sz="4" w:space="0" w:color="auto"/>
              <w:bottom w:val="single" w:sz="4" w:space="0" w:color="auto"/>
              <w:right w:val="single" w:sz="4" w:space="0" w:color="auto"/>
            </w:tcBorders>
            <w:shd w:val="pct25" w:color="auto" w:fill="auto"/>
          </w:tcPr>
          <w:p w14:paraId="49663A8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Statement of independence from the case</w:t>
            </w:r>
          </w:p>
          <w:p w14:paraId="71DF2CD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Quality Assurance statement of qualification</w:t>
            </w:r>
          </w:p>
        </w:tc>
        <w:tc>
          <w:tcPr>
            <w:tcW w:w="4680" w:type="dxa"/>
            <w:gridSpan w:val="3"/>
            <w:tcBorders>
              <w:top w:val="single" w:sz="4" w:space="0" w:color="auto"/>
              <w:left w:val="single" w:sz="4" w:space="0" w:color="auto"/>
              <w:bottom w:val="single" w:sz="4" w:space="0" w:color="auto"/>
              <w:right w:val="single" w:sz="4" w:space="0" w:color="auto"/>
            </w:tcBorders>
            <w:shd w:val="pct25" w:color="auto" w:fill="auto"/>
          </w:tcPr>
          <w:p w14:paraId="19C84D5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Statement of independence from the case</w:t>
            </w:r>
          </w:p>
          <w:p w14:paraId="344BA141" w14:textId="77777777" w:rsidR="00DD590A" w:rsidRPr="00B07464" w:rsidRDefault="00DD590A" w:rsidP="00DD590A">
            <w:pPr>
              <w:widowControl w:val="0"/>
              <w:spacing w:after="0" w:line="240" w:lineRule="auto"/>
              <w:rPr>
                <w:rFonts w:ascii="Arial" w:eastAsia="Calibri" w:hAnsi="Arial" w:cs="Arial"/>
                <w:b/>
                <w:lang w:val="en-US"/>
              </w:rPr>
            </w:pPr>
            <w:r w:rsidRPr="00B07464">
              <w:rPr>
                <w:rFonts w:ascii="Arial" w:eastAsia="Calibri" w:hAnsi="Arial" w:cs="Arial"/>
                <w:i/>
                <w:lang w:val="en-US"/>
              </w:rPr>
              <w:t>Quality Assurance statement of qualification</w:t>
            </w:r>
          </w:p>
        </w:tc>
      </w:tr>
      <w:tr w:rsidR="00DD590A" w:rsidRPr="00B07464" w14:paraId="2E20D9FC" w14:textId="77777777" w:rsidTr="00B07464">
        <w:trPr>
          <w:trHeight w:val="4811"/>
          <w:jc w:val="center"/>
        </w:trPr>
        <w:tc>
          <w:tcPr>
            <w:tcW w:w="4673" w:type="dxa"/>
            <w:gridSpan w:val="3"/>
            <w:tcBorders>
              <w:top w:val="single" w:sz="4" w:space="0" w:color="auto"/>
              <w:left w:val="single" w:sz="4" w:space="0" w:color="auto"/>
              <w:bottom w:val="single" w:sz="4" w:space="0" w:color="auto"/>
              <w:right w:val="single" w:sz="4" w:space="0" w:color="auto"/>
            </w:tcBorders>
          </w:tcPr>
          <w:p w14:paraId="4CE806C2"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I make the following statement that </w:t>
            </w:r>
          </w:p>
          <w:p w14:paraId="7C5819A3"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prior to my involvement with this learning </w:t>
            </w:r>
            <w:proofErr w:type="gramStart"/>
            <w:r w:rsidRPr="00B07464">
              <w:rPr>
                <w:rFonts w:ascii="Arial" w:eastAsia="Calibri" w:hAnsi="Arial" w:cs="Arial"/>
                <w:lang w:val="en-US"/>
              </w:rPr>
              <w:t>review:-</w:t>
            </w:r>
            <w:proofErr w:type="gramEnd"/>
            <w:r w:rsidRPr="00B07464">
              <w:rPr>
                <w:rFonts w:ascii="Arial" w:eastAsia="Calibri" w:hAnsi="Arial" w:cs="Arial"/>
                <w:lang w:val="en-US"/>
              </w:rPr>
              <w:t xml:space="preserve"> </w:t>
            </w:r>
          </w:p>
          <w:p w14:paraId="5ADC8843" w14:textId="77777777" w:rsidR="00DD590A" w:rsidRPr="00B07464" w:rsidRDefault="00DD590A" w:rsidP="00DD590A">
            <w:pPr>
              <w:widowControl w:val="0"/>
              <w:spacing w:after="0" w:line="240" w:lineRule="auto"/>
              <w:rPr>
                <w:rFonts w:ascii="Arial" w:eastAsia="Calibri" w:hAnsi="Arial" w:cs="Arial"/>
                <w:lang w:val="en-US"/>
              </w:rPr>
            </w:pPr>
          </w:p>
          <w:p w14:paraId="59644A87"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I have not been directly concerned with the individual or family, nor have I given professional advice on the case.</w:t>
            </w:r>
          </w:p>
          <w:p w14:paraId="778C153A"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 xml:space="preserve">I have had no immediate line management of the practitioner(s) involved. </w:t>
            </w:r>
          </w:p>
          <w:p w14:paraId="54173965"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I have the appropriate recognised qualifications, knowledge and experience and training to undertake the review.</w:t>
            </w:r>
          </w:p>
          <w:p w14:paraId="1A01C41E" w14:textId="77777777" w:rsidR="00DD590A" w:rsidRPr="00B07464" w:rsidRDefault="00DD590A" w:rsidP="00B07464">
            <w:pPr>
              <w:widowControl w:val="0"/>
              <w:numPr>
                <w:ilvl w:val="0"/>
                <w:numId w:val="2"/>
              </w:numPr>
              <w:tabs>
                <w:tab w:val="clear" w:pos="720"/>
                <w:tab w:val="num" w:pos="313"/>
                <w:tab w:val="left" w:pos="3120"/>
                <w:tab w:val="left" w:pos="4800"/>
                <w:tab w:val="left" w:pos="6480"/>
                <w:tab w:val="left" w:pos="7920"/>
              </w:tabs>
              <w:spacing w:after="0" w:line="240" w:lineRule="auto"/>
              <w:ind w:left="313" w:hanging="313"/>
              <w:rPr>
                <w:rFonts w:ascii="Arial" w:eastAsia="Calibri" w:hAnsi="Arial" w:cs="Arial"/>
                <w:b/>
                <w:lang w:val="en-US"/>
              </w:rPr>
            </w:pPr>
            <w:r w:rsidRPr="00B07464">
              <w:rPr>
                <w:rFonts w:ascii="Arial" w:eastAsia="Calibri" w:hAnsi="Arial" w:cs="Arial"/>
                <w:lang w:val="en-US"/>
              </w:rPr>
              <w:t>The review was conducted appropriately and was rigorous in its analysis and evaluation of the issues as set out in the Terms of Reference.</w:t>
            </w:r>
          </w:p>
        </w:tc>
        <w:tc>
          <w:tcPr>
            <w:tcW w:w="4680" w:type="dxa"/>
            <w:gridSpan w:val="3"/>
            <w:tcBorders>
              <w:top w:val="single" w:sz="4" w:space="0" w:color="auto"/>
              <w:left w:val="single" w:sz="4" w:space="0" w:color="auto"/>
              <w:bottom w:val="single" w:sz="4" w:space="0" w:color="auto"/>
              <w:right w:val="single" w:sz="4" w:space="0" w:color="auto"/>
            </w:tcBorders>
          </w:tcPr>
          <w:p w14:paraId="50CD6001"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I make the following statement that </w:t>
            </w:r>
          </w:p>
          <w:p w14:paraId="71E8ED89"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prior to my involvement with this learning </w:t>
            </w:r>
            <w:proofErr w:type="gramStart"/>
            <w:r w:rsidRPr="00B07464">
              <w:rPr>
                <w:rFonts w:ascii="Arial" w:eastAsia="Calibri" w:hAnsi="Arial" w:cs="Arial"/>
                <w:lang w:val="en-US"/>
              </w:rPr>
              <w:t>review:-</w:t>
            </w:r>
            <w:proofErr w:type="gramEnd"/>
            <w:r w:rsidRPr="00B07464">
              <w:rPr>
                <w:rFonts w:ascii="Arial" w:eastAsia="Calibri" w:hAnsi="Arial" w:cs="Arial"/>
                <w:lang w:val="en-US"/>
              </w:rPr>
              <w:t xml:space="preserve"> </w:t>
            </w:r>
          </w:p>
          <w:p w14:paraId="0FEDA58C" w14:textId="77777777" w:rsidR="00DD590A" w:rsidRPr="00B07464" w:rsidRDefault="00DD590A" w:rsidP="00DD590A">
            <w:pPr>
              <w:widowControl w:val="0"/>
              <w:spacing w:after="0" w:line="240" w:lineRule="auto"/>
              <w:rPr>
                <w:rFonts w:ascii="Arial" w:eastAsia="Calibri" w:hAnsi="Arial" w:cs="Arial"/>
                <w:lang w:val="en-US"/>
              </w:rPr>
            </w:pPr>
          </w:p>
          <w:p w14:paraId="2AF49A3E"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I have not been directly concerned with the individual or family, nor have I given professional advice on the case</w:t>
            </w:r>
          </w:p>
          <w:p w14:paraId="04CE00B6"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 xml:space="preserve">I have had no immediate line management of the practitioner(s) involved. </w:t>
            </w:r>
          </w:p>
          <w:p w14:paraId="6DFE04D4"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I have the appropriate recognised qualifications, knowledge and experience and training to undertake the review.</w:t>
            </w:r>
          </w:p>
          <w:p w14:paraId="450C3A7E"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The review was conducted appropriately and was rigorous in its analysis and evaluation of the issues as set out in the Terms of Reference.</w:t>
            </w:r>
          </w:p>
          <w:p w14:paraId="012CC8D2" w14:textId="77777777" w:rsidR="00DD590A" w:rsidRPr="00B07464" w:rsidRDefault="00DD590A" w:rsidP="00DD590A">
            <w:pPr>
              <w:widowControl w:val="0"/>
              <w:spacing w:after="0" w:line="240" w:lineRule="auto"/>
              <w:rPr>
                <w:rFonts w:ascii="Arial" w:eastAsia="Calibri" w:hAnsi="Arial" w:cs="Arial"/>
                <w:lang w:val="en-US"/>
              </w:rPr>
            </w:pPr>
          </w:p>
        </w:tc>
      </w:tr>
      <w:tr w:rsidR="00DD590A" w:rsidRPr="00B07464" w14:paraId="66ED3675" w14:textId="77777777" w:rsidTr="00B07464">
        <w:trPr>
          <w:trHeight w:val="382"/>
          <w:jc w:val="center"/>
        </w:trPr>
        <w:tc>
          <w:tcPr>
            <w:tcW w:w="1620" w:type="dxa"/>
            <w:tcBorders>
              <w:top w:val="single" w:sz="4" w:space="0" w:color="auto"/>
              <w:left w:val="single" w:sz="4" w:space="0" w:color="auto"/>
              <w:bottom w:val="nil"/>
              <w:right w:val="nil"/>
            </w:tcBorders>
            <w:vAlign w:val="center"/>
          </w:tcPr>
          <w:p w14:paraId="3D576D24"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1</w:t>
            </w:r>
          </w:p>
          <w:p w14:paraId="5E02E63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(Signature)</w:t>
            </w:r>
          </w:p>
        </w:tc>
        <w:tc>
          <w:tcPr>
            <w:tcW w:w="3053" w:type="dxa"/>
            <w:gridSpan w:val="2"/>
            <w:tcBorders>
              <w:top w:val="single" w:sz="4" w:space="0" w:color="auto"/>
              <w:left w:val="nil"/>
              <w:bottom w:val="nil"/>
              <w:right w:val="nil"/>
            </w:tcBorders>
            <w:vAlign w:val="center"/>
          </w:tcPr>
          <w:p w14:paraId="3045BB5F" w14:textId="426FB14D"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C9610F" w:rsidRPr="00C9610F">
              <w:rPr>
                <w:rFonts w:ascii="Comic Sans MS" w:eastAsia="Calibri" w:hAnsi="Comic Sans MS" w:cs="Arial"/>
                <w:lang w:val="en-US"/>
              </w:rPr>
              <w:t xml:space="preserve"> </w:t>
            </w:r>
            <w:proofErr w:type="spellStart"/>
            <w:proofErr w:type="gramStart"/>
            <w:r w:rsidR="00C9610F" w:rsidRPr="00C9610F">
              <w:rPr>
                <w:rFonts w:ascii="Comic Sans MS" w:eastAsia="Calibri" w:hAnsi="Comic Sans MS" w:cs="Arial"/>
                <w:sz w:val="24"/>
                <w:szCs w:val="24"/>
                <w:lang w:val="en-US"/>
              </w:rPr>
              <w:t>S.Chamberlain</w:t>
            </w:r>
            <w:proofErr w:type="spellEnd"/>
            <w:proofErr w:type="gramEnd"/>
            <w:r w:rsidR="00C9610F" w:rsidRPr="00C9610F">
              <w:rPr>
                <w:rFonts w:ascii="Comic Sans MS" w:eastAsia="Calibri" w:hAnsi="Comic Sans MS" w:cs="Arial"/>
                <w:sz w:val="24"/>
                <w:szCs w:val="24"/>
                <w:lang w:val="en-US"/>
              </w:rPr>
              <w:t xml:space="preserve"> </w:t>
            </w:r>
            <w:r w:rsidRPr="00B07464">
              <w:rPr>
                <w:rFonts w:ascii="Arial" w:eastAsia="Calibri" w:hAnsi="Arial" w:cs="Arial"/>
                <w:lang w:val="en-US"/>
              </w:rPr>
              <w:t>…</w:t>
            </w:r>
          </w:p>
        </w:tc>
        <w:tc>
          <w:tcPr>
            <w:tcW w:w="1980" w:type="dxa"/>
            <w:tcBorders>
              <w:top w:val="single" w:sz="4" w:space="0" w:color="auto"/>
              <w:left w:val="nil"/>
              <w:bottom w:val="nil"/>
              <w:right w:val="nil"/>
            </w:tcBorders>
            <w:vAlign w:val="center"/>
          </w:tcPr>
          <w:p w14:paraId="7E31EF9E"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5CC284DF"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2</w:t>
            </w:r>
          </w:p>
          <w:p w14:paraId="2D703E3F"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(Signature)</w:t>
            </w:r>
          </w:p>
          <w:p w14:paraId="4610CB8E"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tc>
        <w:tc>
          <w:tcPr>
            <w:tcW w:w="2700" w:type="dxa"/>
            <w:gridSpan w:val="2"/>
            <w:tcBorders>
              <w:top w:val="single" w:sz="4" w:space="0" w:color="auto"/>
              <w:left w:val="nil"/>
              <w:bottom w:val="nil"/>
              <w:right w:val="single" w:sz="4" w:space="0" w:color="auto"/>
            </w:tcBorders>
            <w:vAlign w:val="center"/>
          </w:tcPr>
          <w:p w14:paraId="0D5DEA2B" w14:textId="252312FC"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C9610F">
              <w:rPr>
                <w:rFonts w:ascii="Arial" w:eastAsia="Calibri" w:hAnsi="Arial" w:cs="Arial"/>
                <w:sz w:val="24"/>
                <w:szCs w:val="24"/>
                <w:lang w:val="en-US"/>
              </w:rPr>
              <w:t>……</w:t>
            </w:r>
            <w:r w:rsidR="00C9610F" w:rsidRPr="00C9610F">
              <w:rPr>
                <w:rFonts w:ascii="Comic Sans MS" w:eastAsia="Calibri" w:hAnsi="Comic Sans MS" w:cs="Arial"/>
                <w:sz w:val="24"/>
                <w:szCs w:val="24"/>
                <w:lang w:val="en-US"/>
              </w:rPr>
              <w:t xml:space="preserve"> </w:t>
            </w:r>
            <w:proofErr w:type="spellStart"/>
            <w:proofErr w:type="gramStart"/>
            <w:r w:rsidR="00C9610F" w:rsidRPr="00C9610F">
              <w:rPr>
                <w:rFonts w:ascii="Comic Sans MS" w:eastAsia="Calibri" w:hAnsi="Comic Sans MS" w:cs="Arial"/>
                <w:sz w:val="24"/>
                <w:szCs w:val="24"/>
                <w:lang w:val="en-US"/>
              </w:rPr>
              <w:t>L.Morris</w:t>
            </w:r>
            <w:proofErr w:type="spellEnd"/>
            <w:proofErr w:type="gramEnd"/>
            <w:r w:rsidR="00C9610F" w:rsidRPr="00C9610F">
              <w:rPr>
                <w:rFonts w:ascii="Comic Sans MS" w:eastAsia="Calibri" w:hAnsi="Comic Sans MS" w:cs="Arial"/>
                <w:sz w:val="24"/>
                <w:szCs w:val="24"/>
                <w:lang w:val="en-US"/>
              </w:rPr>
              <w:t xml:space="preserve"> </w:t>
            </w:r>
            <w:r w:rsidRPr="00C9610F">
              <w:rPr>
                <w:rFonts w:ascii="Arial" w:eastAsia="Calibri" w:hAnsi="Arial" w:cs="Arial"/>
                <w:sz w:val="24"/>
                <w:szCs w:val="24"/>
                <w:lang w:val="en-US"/>
              </w:rPr>
              <w:t>……</w:t>
            </w:r>
          </w:p>
        </w:tc>
      </w:tr>
      <w:tr w:rsidR="00DD590A" w:rsidRPr="00B07464" w14:paraId="238292B2" w14:textId="77777777" w:rsidTr="00B07464">
        <w:trPr>
          <w:trHeight w:val="536"/>
          <w:jc w:val="center"/>
        </w:trPr>
        <w:tc>
          <w:tcPr>
            <w:tcW w:w="1620" w:type="dxa"/>
            <w:tcBorders>
              <w:top w:val="nil"/>
              <w:left w:val="single" w:sz="4" w:space="0" w:color="auto"/>
              <w:bottom w:val="nil"/>
              <w:right w:val="nil"/>
            </w:tcBorders>
            <w:vAlign w:val="center"/>
          </w:tcPr>
          <w:p w14:paraId="354F013E"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32EF801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(Print)</w:t>
            </w:r>
          </w:p>
        </w:tc>
        <w:tc>
          <w:tcPr>
            <w:tcW w:w="3053" w:type="dxa"/>
            <w:gridSpan w:val="2"/>
            <w:tcBorders>
              <w:top w:val="nil"/>
              <w:left w:val="nil"/>
              <w:bottom w:val="nil"/>
              <w:right w:val="nil"/>
            </w:tcBorders>
            <w:vAlign w:val="center"/>
          </w:tcPr>
          <w:p w14:paraId="2911C0A8" w14:textId="0D3960DA" w:rsidR="00DD590A" w:rsidRPr="00B07464" w:rsidRDefault="00C9610F"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w:t>
            </w:r>
            <w:r w:rsidR="00F52D21" w:rsidRPr="00C9610F">
              <w:rPr>
                <w:rFonts w:ascii="Arial" w:eastAsia="Calibri" w:hAnsi="Arial" w:cs="Arial"/>
                <w:b/>
                <w:bCs/>
                <w:lang w:val="en-US"/>
              </w:rPr>
              <w:t>Steve Chamberlain</w:t>
            </w:r>
            <w:r w:rsidRPr="00C9610F">
              <w:rPr>
                <w:rFonts w:ascii="Arial" w:eastAsia="Calibri" w:hAnsi="Arial" w:cs="Arial"/>
                <w:b/>
                <w:bCs/>
                <w:lang w:val="en-US"/>
              </w:rPr>
              <w:t>…</w:t>
            </w:r>
          </w:p>
        </w:tc>
        <w:tc>
          <w:tcPr>
            <w:tcW w:w="1980" w:type="dxa"/>
            <w:tcBorders>
              <w:top w:val="nil"/>
              <w:left w:val="nil"/>
              <w:bottom w:val="nil"/>
              <w:right w:val="nil"/>
            </w:tcBorders>
            <w:vAlign w:val="center"/>
          </w:tcPr>
          <w:p w14:paraId="2918BFC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358116F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i/>
                <w:lang w:val="en-US"/>
              </w:rPr>
              <w:t>(Print)</w:t>
            </w:r>
          </w:p>
        </w:tc>
        <w:tc>
          <w:tcPr>
            <w:tcW w:w="2700" w:type="dxa"/>
            <w:gridSpan w:val="2"/>
            <w:tcBorders>
              <w:top w:val="nil"/>
              <w:left w:val="nil"/>
              <w:bottom w:val="nil"/>
              <w:right w:val="single" w:sz="4" w:space="0" w:color="auto"/>
            </w:tcBorders>
            <w:vAlign w:val="center"/>
          </w:tcPr>
          <w:p w14:paraId="345B095A" w14:textId="4780CD94"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C9610F" w:rsidRPr="00620CDB">
              <w:rPr>
                <w:rFonts w:ascii="Arial" w:eastAsia="Calibri" w:hAnsi="Arial" w:cs="Arial"/>
                <w:b/>
                <w:iCs/>
                <w:lang w:val="en-US"/>
              </w:rPr>
              <w:t xml:space="preserve"> </w:t>
            </w:r>
            <w:r w:rsidR="00C9610F" w:rsidRPr="00620CDB">
              <w:rPr>
                <w:rFonts w:ascii="Arial" w:eastAsia="Calibri" w:hAnsi="Arial" w:cs="Arial"/>
                <w:b/>
                <w:iCs/>
                <w:lang w:val="en-US"/>
              </w:rPr>
              <w:t>Lisa Morris</w:t>
            </w:r>
            <w:r w:rsidR="00C9610F" w:rsidRPr="00B07464">
              <w:rPr>
                <w:rFonts w:ascii="Arial" w:eastAsia="Calibri" w:hAnsi="Arial" w:cs="Arial"/>
                <w:lang w:val="en-US"/>
              </w:rPr>
              <w:t xml:space="preserve"> </w:t>
            </w:r>
            <w:r w:rsidRPr="00B07464">
              <w:rPr>
                <w:rFonts w:ascii="Arial" w:eastAsia="Calibri" w:hAnsi="Arial" w:cs="Arial"/>
                <w:lang w:val="en-US"/>
              </w:rPr>
              <w:t>…</w:t>
            </w:r>
          </w:p>
        </w:tc>
      </w:tr>
      <w:tr w:rsidR="00DD590A" w:rsidRPr="00B07464" w14:paraId="609069F9" w14:textId="77777777" w:rsidTr="00B07464">
        <w:trPr>
          <w:trHeight w:val="536"/>
          <w:jc w:val="center"/>
        </w:trPr>
        <w:tc>
          <w:tcPr>
            <w:tcW w:w="1620" w:type="dxa"/>
            <w:tcBorders>
              <w:top w:val="nil"/>
              <w:left w:val="single" w:sz="4" w:space="0" w:color="auto"/>
              <w:bottom w:val="single" w:sz="4" w:space="0" w:color="auto"/>
              <w:right w:val="nil"/>
            </w:tcBorders>
            <w:vAlign w:val="center"/>
          </w:tcPr>
          <w:p w14:paraId="634277B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07F70159"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b/>
                <w:lang w:val="en-US"/>
              </w:rPr>
              <w:t>Date</w:t>
            </w:r>
          </w:p>
        </w:tc>
        <w:tc>
          <w:tcPr>
            <w:tcW w:w="3053" w:type="dxa"/>
            <w:gridSpan w:val="2"/>
            <w:tcBorders>
              <w:top w:val="nil"/>
              <w:left w:val="nil"/>
              <w:bottom w:val="single" w:sz="4" w:space="0" w:color="auto"/>
              <w:right w:val="nil"/>
            </w:tcBorders>
            <w:vAlign w:val="center"/>
          </w:tcPr>
          <w:p w14:paraId="29FB555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2A062301" w14:textId="481DA1D1"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C9610F">
              <w:rPr>
                <w:rFonts w:ascii="Arial" w:eastAsia="Calibri" w:hAnsi="Arial" w:cs="Arial"/>
                <w:lang w:val="en-US"/>
              </w:rPr>
              <w:t>13/2/26</w:t>
            </w:r>
            <w:r w:rsidRPr="00B07464">
              <w:rPr>
                <w:rFonts w:ascii="Arial" w:eastAsia="Calibri" w:hAnsi="Arial" w:cs="Arial"/>
                <w:lang w:val="en-US"/>
              </w:rPr>
              <w:t>………………</w:t>
            </w:r>
          </w:p>
        </w:tc>
        <w:tc>
          <w:tcPr>
            <w:tcW w:w="1980" w:type="dxa"/>
            <w:tcBorders>
              <w:top w:val="nil"/>
              <w:left w:val="nil"/>
              <w:bottom w:val="single" w:sz="4" w:space="0" w:color="auto"/>
              <w:right w:val="nil"/>
            </w:tcBorders>
            <w:vAlign w:val="center"/>
          </w:tcPr>
          <w:p w14:paraId="4879B7E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008FF66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Date</w:t>
            </w:r>
          </w:p>
        </w:tc>
        <w:tc>
          <w:tcPr>
            <w:tcW w:w="2700" w:type="dxa"/>
            <w:gridSpan w:val="2"/>
            <w:tcBorders>
              <w:top w:val="nil"/>
              <w:left w:val="nil"/>
              <w:bottom w:val="single" w:sz="4" w:space="0" w:color="auto"/>
              <w:right w:val="single" w:sz="4" w:space="0" w:color="auto"/>
            </w:tcBorders>
            <w:vAlign w:val="center"/>
          </w:tcPr>
          <w:p w14:paraId="2DEC81B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65394171" w14:textId="33D5A0AC"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C9610F">
              <w:rPr>
                <w:rFonts w:ascii="Arial" w:eastAsia="Calibri" w:hAnsi="Arial" w:cs="Arial"/>
                <w:lang w:val="en-US"/>
              </w:rPr>
              <w:t>13/2/26</w:t>
            </w:r>
            <w:r w:rsidRPr="00B07464">
              <w:rPr>
                <w:rFonts w:ascii="Arial" w:eastAsia="Calibri" w:hAnsi="Arial" w:cs="Arial"/>
                <w:lang w:val="en-US"/>
              </w:rPr>
              <w:t>…………………</w:t>
            </w:r>
          </w:p>
        </w:tc>
      </w:tr>
    </w:tbl>
    <w:p w14:paraId="1F3E566B" w14:textId="77777777" w:rsidR="00DD590A" w:rsidRPr="00B07464" w:rsidRDefault="00DD590A" w:rsidP="00DD590A">
      <w:pPr>
        <w:widowControl w:val="0"/>
        <w:spacing w:after="0" w:line="240" w:lineRule="auto"/>
        <w:rPr>
          <w:rFonts w:ascii="Arial" w:eastAsia="Calibri" w:hAnsi="Arial" w:cs="Arial"/>
          <w:b/>
          <w:i/>
          <w:lang w:val="en-US"/>
        </w:rPr>
      </w:pPr>
    </w:p>
    <w:tbl>
      <w:tblPr>
        <w:tblW w:w="92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84"/>
        <w:gridCol w:w="6029"/>
      </w:tblGrid>
      <w:tr w:rsidR="00DD590A" w:rsidRPr="00B07464" w14:paraId="454DEB59" w14:textId="77777777" w:rsidTr="00DD590A">
        <w:trPr>
          <w:trHeight w:val="388"/>
          <w:jc w:val="center"/>
        </w:trPr>
        <w:tc>
          <w:tcPr>
            <w:tcW w:w="3184" w:type="dxa"/>
            <w:vAlign w:val="center"/>
          </w:tcPr>
          <w:p w14:paraId="3585FBFF" w14:textId="77777777" w:rsidR="00DD590A" w:rsidRPr="00B07464" w:rsidRDefault="00DD590A" w:rsidP="00DD590A">
            <w:pPr>
              <w:widowControl w:val="0"/>
              <w:tabs>
                <w:tab w:val="left" w:pos="3294"/>
                <w:tab w:val="left" w:pos="3577"/>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b/>
                <w:i/>
                <w:lang w:val="en-US"/>
              </w:rPr>
              <w:t>Chair of Review Panel</w:t>
            </w:r>
            <w:r w:rsidRPr="00B07464">
              <w:rPr>
                <w:rFonts w:ascii="Arial" w:eastAsia="Calibri" w:hAnsi="Arial" w:cs="Arial"/>
                <w:i/>
                <w:lang w:val="en-US"/>
              </w:rPr>
              <w:t xml:space="preserve"> (Signature)</w:t>
            </w:r>
          </w:p>
        </w:tc>
        <w:tc>
          <w:tcPr>
            <w:tcW w:w="6029" w:type="dxa"/>
            <w:vAlign w:val="center"/>
          </w:tcPr>
          <w:p w14:paraId="70213728" w14:textId="5AECF042" w:rsidR="00DD590A" w:rsidRPr="00C9610F" w:rsidRDefault="00C9610F" w:rsidP="00DD590A">
            <w:pPr>
              <w:widowControl w:val="0"/>
              <w:tabs>
                <w:tab w:val="left" w:pos="3120"/>
                <w:tab w:val="center" w:pos="4513"/>
                <w:tab w:val="left" w:pos="4800"/>
                <w:tab w:val="left" w:pos="6480"/>
                <w:tab w:val="left" w:pos="7920"/>
                <w:tab w:val="right" w:pos="9026"/>
              </w:tabs>
              <w:spacing w:after="0" w:line="240" w:lineRule="auto"/>
              <w:rPr>
                <w:rFonts w:ascii="Comic Sans MS" w:eastAsia="Calibri" w:hAnsi="Comic Sans MS" w:cs="Arial"/>
                <w:lang w:val="en-US"/>
              </w:rPr>
            </w:pPr>
            <w:r>
              <w:rPr>
                <w:rFonts w:ascii="Comic Sans MS" w:eastAsia="Calibri" w:hAnsi="Comic Sans MS" w:cs="Arial"/>
                <w:sz w:val="24"/>
                <w:szCs w:val="24"/>
                <w:lang w:val="en-US"/>
              </w:rPr>
              <w:t>…...</w:t>
            </w:r>
            <w:proofErr w:type="spellStart"/>
            <w:r w:rsidR="00266A7D" w:rsidRPr="00C9610F">
              <w:rPr>
                <w:rFonts w:ascii="Comic Sans MS" w:eastAsia="Calibri" w:hAnsi="Comic Sans MS" w:cs="Arial"/>
                <w:sz w:val="24"/>
                <w:szCs w:val="24"/>
                <w:lang w:val="en-US"/>
              </w:rPr>
              <w:t>B.Heard</w:t>
            </w:r>
            <w:proofErr w:type="spellEnd"/>
            <w:r w:rsidR="00DD590A" w:rsidRPr="00C9610F">
              <w:rPr>
                <w:rFonts w:ascii="Comic Sans MS" w:eastAsia="Calibri" w:hAnsi="Comic Sans MS" w:cs="Arial"/>
                <w:sz w:val="24"/>
                <w:szCs w:val="24"/>
                <w:lang w:val="en-US"/>
              </w:rPr>
              <w:t>…</w:t>
            </w:r>
          </w:p>
        </w:tc>
      </w:tr>
      <w:tr w:rsidR="00DD590A" w:rsidRPr="00B07464" w14:paraId="7DA8E161" w14:textId="77777777" w:rsidTr="00DD590A">
        <w:trPr>
          <w:trHeight w:val="545"/>
          <w:jc w:val="center"/>
        </w:trPr>
        <w:tc>
          <w:tcPr>
            <w:tcW w:w="3184" w:type="dxa"/>
            <w:vAlign w:val="center"/>
          </w:tcPr>
          <w:p w14:paraId="594A8BDF"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1BE4E259"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36CC3F3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(Print)</w:t>
            </w:r>
          </w:p>
        </w:tc>
        <w:tc>
          <w:tcPr>
            <w:tcW w:w="6029" w:type="dxa"/>
            <w:vAlign w:val="center"/>
          </w:tcPr>
          <w:p w14:paraId="54A29E89" w14:textId="559A0A9E"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266A7D">
              <w:rPr>
                <w:rFonts w:ascii="Arial" w:eastAsia="Calibri" w:hAnsi="Arial" w:cs="Arial"/>
                <w:lang w:val="en-US"/>
              </w:rPr>
              <w:t>B</w:t>
            </w:r>
            <w:r w:rsidR="00C9610F">
              <w:rPr>
                <w:rFonts w:ascii="Arial" w:eastAsia="Calibri" w:hAnsi="Arial" w:cs="Arial"/>
                <w:lang w:val="en-US"/>
              </w:rPr>
              <w:t xml:space="preserve">ryan </w:t>
            </w:r>
            <w:r w:rsidR="00266A7D">
              <w:rPr>
                <w:rFonts w:ascii="Arial" w:eastAsia="Calibri" w:hAnsi="Arial" w:cs="Arial"/>
                <w:lang w:val="en-US"/>
              </w:rPr>
              <w:t xml:space="preserve">Heard </w:t>
            </w:r>
            <w:r w:rsidRPr="00B07464">
              <w:rPr>
                <w:rFonts w:ascii="Arial" w:eastAsia="Calibri" w:hAnsi="Arial" w:cs="Arial"/>
                <w:lang w:val="en-US"/>
              </w:rPr>
              <w:t>…………………</w:t>
            </w:r>
          </w:p>
        </w:tc>
      </w:tr>
      <w:tr w:rsidR="00DD590A" w:rsidRPr="00B07464" w14:paraId="3D3DD8A6" w14:textId="77777777" w:rsidTr="00DD590A">
        <w:trPr>
          <w:trHeight w:val="545"/>
          <w:jc w:val="center"/>
        </w:trPr>
        <w:tc>
          <w:tcPr>
            <w:tcW w:w="3184" w:type="dxa"/>
            <w:vAlign w:val="center"/>
          </w:tcPr>
          <w:p w14:paraId="52DB50D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42B9BCE5"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Date</w:t>
            </w:r>
          </w:p>
          <w:p w14:paraId="6A90872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p>
        </w:tc>
        <w:tc>
          <w:tcPr>
            <w:tcW w:w="6029" w:type="dxa"/>
            <w:vAlign w:val="center"/>
          </w:tcPr>
          <w:p w14:paraId="459D43C6" w14:textId="7EA6BC05"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w:t>
            </w:r>
            <w:r w:rsidR="00266A7D">
              <w:rPr>
                <w:rFonts w:ascii="Arial" w:eastAsia="Calibri" w:hAnsi="Arial" w:cs="Arial"/>
                <w:lang w:val="en-US"/>
              </w:rPr>
              <w:t>13/2/26</w:t>
            </w:r>
            <w:r w:rsidRPr="00B07464">
              <w:rPr>
                <w:rFonts w:ascii="Arial" w:eastAsia="Calibri" w:hAnsi="Arial" w:cs="Arial"/>
                <w:lang w:val="en-US"/>
              </w:rPr>
              <w:t>……………</w:t>
            </w:r>
          </w:p>
        </w:tc>
      </w:tr>
    </w:tbl>
    <w:p w14:paraId="08AD2A5B" w14:textId="77777777" w:rsidR="00B07464" w:rsidRDefault="00B07464" w:rsidP="00DD590A">
      <w:pPr>
        <w:widowControl w:val="0"/>
        <w:spacing w:after="0" w:line="240" w:lineRule="auto"/>
        <w:ind w:left="1985"/>
        <w:rPr>
          <w:rFonts w:ascii="Arial" w:eastAsia="Calibri" w:hAnsi="Arial" w:cs="Arial"/>
          <w:b/>
          <w:i/>
          <w:lang w:val="en-US"/>
        </w:rPr>
        <w:sectPr w:rsidR="00B07464" w:rsidSect="006347BB">
          <w:pgSz w:w="11906" w:h="16838"/>
          <w:pgMar w:top="1276" w:right="1440" w:bottom="851" w:left="1440" w:header="708" w:footer="708" w:gutter="0"/>
          <w:cols w:space="708"/>
          <w:docGrid w:linePitch="360"/>
        </w:sectPr>
      </w:pPr>
    </w:p>
    <w:p w14:paraId="763E948F" w14:textId="77777777" w:rsidR="00DD590A" w:rsidRPr="00B07464" w:rsidRDefault="00DD590A" w:rsidP="00DD590A">
      <w:pPr>
        <w:widowControl w:val="0"/>
        <w:spacing w:after="0" w:line="240" w:lineRule="auto"/>
        <w:ind w:left="1985"/>
        <w:rPr>
          <w:rFonts w:ascii="Arial" w:eastAsia="Calibri" w:hAnsi="Arial" w:cs="Arial"/>
          <w:b/>
          <w:i/>
          <w:lang w:val="en-US"/>
        </w:rPr>
      </w:pPr>
    </w:p>
    <w:p w14:paraId="59D6384B" w14:textId="77777777" w:rsidR="00DD590A" w:rsidRPr="00B07464" w:rsidRDefault="00DD590A" w:rsidP="00B07464">
      <w:pPr>
        <w:widowControl w:val="0"/>
        <w:spacing w:after="0" w:line="240" w:lineRule="auto"/>
        <w:ind w:left="1134" w:hanging="1134"/>
        <w:jc w:val="center"/>
        <w:rPr>
          <w:rFonts w:ascii="Arial" w:eastAsia="Calibri" w:hAnsi="Arial" w:cs="Arial"/>
          <w:lang w:val="en-US"/>
        </w:rPr>
      </w:pPr>
      <w:r w:rsidRPr="00B07464">
        <w:rPr>
          <w:rFonts w:ascii="Arial" w:eastAsia="Calibri" w:hAnsi="Arial" w:cs="Arial"/>
          <w:b/>
          <w:lang w:val="en-US"/>
        </w:rPr>
        <w:t>Appendix 1</w:t>
      </w:r>
      <w:r w:rsidRPr="00B07464">
        <w:rPr>
          <w:rFonts w:ascii="Arial" w:eastAsia="Calibri" w:hAnsi="Arial" w:cs="Arial"/>
          <w:lang w:val="en-US"/>
        </w:rPr>
        <w:t>: Terms of reference</w:t>
      </w:r>
    </w:p>
    <w:p w14:paraId="0A3A8950" w14:textId="77777777" w:rsidR="00DD590A" w:rsidRPr="00B07464" w:rsidRDefault="00DD590A" w:rsidP="00B07464">
      <w:pPr>
        <w:widowControl w:val="0"/>
        <w:spacing w:after="0" w:line="240" w:lineRule="auto"/>
        <w:ind w:left="1134" w:hanging="1134"/>
        <w:jc w:val="center"/>
        <w:rPr>
          <w:rFonts w:ascii="Arial" w:eastAsia="Calibri" w:hAnsi="Arial" w:cs="Arial"/>
          <w:lang w:val="en-US"/>
        </w:rPr>
      </w:pPr>
      <w:r w:rsidRPr="00B07464">
        <w:rPr>
          <w:rFonts w:ascii="Arial" w:eastAsia="Calibri" w:hAnsi="Arial" w:cs="Arial"/>
          <w:b/>
          <w:lang w:val="en-US"/>
        </w:rPr>
        <w:t>Appendix 2:</w:t>
      </w:r>
      <w:r w:rsidRPr="00B07464">
        <w:rPr>
          <w:rFonts w:ascii="Arial" w:eastAsia="Calibri" w:hAnsi="Arial" w:cs="Arial"/>
          <w:lang w:val="en-US"/>
        </w:rPr>
        <w:t xml:space="preserve"> Summary timeline</w:t>
      </w:r>
    </w:p>
    <w:p w14:paraId="02B28367" w14:textId="77777777" w:rsidR="00DD590A" w:rsidRPr="00B07464" w:rsidRDefault="00DD590A" w:rsidP="00B07464">
      <w:pPr>
        <w:widowControl w:val="0"/>
        <w:spacing w:after="0" w:line="240" w:lineRule="auto"/>
        <w:ind w:left="1985"/>
        <w:jc w:val="center"/>
        <w:rPr>
          <w:rFonts w:ascii="Arial" w:eastAsia="Calibri" w:hAnsi="Arial" w:cs="Arial"/>
          <w:b/>
          <w:i/>
          <w:lang w:val="en-US"/>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6"/>
      </w:tblGrid>
      <w:tr w:rsidR="00DD590A" w:rsidRPr="00B07464" w14:paraId="350FA4C8" w14:textId="77777777" w:rsidTr="00DD590A">
        <w:trPr>
          <w:jc w:val="center"/>
        </w:trPr>
        <w:tc>
          <w:tcPr>
            <w:tcW w:w="9136" w:type="dxa"/>
            <w:shd w:val="clear" w:color="auto" w:fill="C0C0C0"/>
          </w:tcPr>
          <w:p w14:paraId="1567C8E2" w14:textId="77777777" w:rsidR="00DD590A" w:rsidRPr="00B07464" w:rsidRDefault="00DD590A" w:rsidP="00DD590A">
            <w:pPr>
              <w:widowControl w:val="0"/>
              <w:spacing w:before="120" w:after="0" w:line="240" w:lineRule="auto"/>
              <w:jc w:val="center"/>
              <w:rPr>
                <w:rFonts w:ascii="Arial" w:eastAsia="Calibri" w:hAnsi="Arial" w:cs="Arial"/>
                <w:b/>
                <w:lang w:val="en-US"/>
              </w:rPr>
            </w:pPr>
            <w:r w:rsidRPr="00B07464">
              <w:rPr>
                <w:rFonts w:ascii="Arial" w:eastAsia="Calibri" w:hAnsi="Arial" w:cs="Arial"/>
                <w:b/>
                <w:lang w:val="en-US"/>
              </w:rPr>
              <w:t xml:space="preserve">Adult Practice Review </w:t>
            </w:r>
            <w:r w:rsidR="00B07464" w:rsidRPr="00B07464">
              <w:rPr>
                <w:rFonts w:ascii="Arial" w:eastAsia="Calibri" w:hAnsi="Arial" w:cs="Arial"/>
                <w:b/>
                <w:lang w:val="en-US"/>
              </w:rPr>
              <w:t>Process</w:t>
            </w:r>
          </w:p>
          <w:p w14:paraId="49923E00" w14:textId="77777777" w:rsidR="00DD590A" w:rsidRPr="00B07464" w:rsidRDefault="00DD590A" w:rsidP="00DD590A">
            <w:pPr>
              <w:widowControl w:val="0"/>
              <w:spacing w:after="0" w:line="240" w:lineRule="auto"/>
              <w:jc w:val="center"/>
              <w:rPr>
                <w:rFonts w:ascii="Arial" w:eastAsia="Calibri" w:hAnsi="Arial" w:cs="Arial"/>
                <w:b/>
                <w:lang w:val="en-US"/>
              </w:rPr>
            </w:pPr>
          </w:p>
          <w:p w14:paraId="0A6163D0" w14:textId="77777777" w:rsidR="00DD590A" w:rsidRPr="00B07464" w:rsidRDefault="00DD590A" w:rsidP="00DD590A">
            <w:pPr>
              <w:widowControl w:val="0"/>
              <w:spacing w:after="120" w:line="240" w:lineRule="auto"/>
              <w:rPr>
                <w:rFonts w:ascii="Arial" w:eastAsia="Calibri" w:hAnsi="Arial" w:cs="Arial"/>
                <w:i/>
                <w:lang w:val="en-US"/>
              </w:rPr>
            </w:pPr>
            <w:r w:rsidRPr="00B07464">
              <w:rPr>
                <w:rFonts w:ascii="Arial" w:eastAsia="Calibri" w:hAnsi="Arial" w:cs="Arial"/>
                <w:i/>
                <w:lang w:val="en-US"/>
              </w:rPr>
              <w:t>To include here in brief:</w:t>
            </w:r>
          </w:p>
          <w:p w14:paraId="553EE5EC"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The process followed by the Board and the services represented on the Review Panel.</w:t>
            </w:r>
          </w:p>
          <w:p w14:paraId="690773E3"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A learning event was held and the services that attended.</w:t>
            </w:r>
          </w:p>
          <w:p w14:paraId="5DF5AD8B"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Family members had been informed, their views sought and represented throughout the learning event and feedback had been provided to them.</w:t>
            </w:r>
          </w:p>
        </w:tc>
      </w:tr>
      <w:tr w:rsidR="00DD590A" w:rsidRPr="00B07464" w14:paraId="2B0A483E" w14:textId="77777777" w:rsidTr="00DD590A">
        <w:trPr>
          <w:trHeight w:val="1105"/>
          <w:jc w:val="center"/>
        </w:trPr>
        <w:tc>
          <w:tcPr>
            <w:tcW w:w="9136" w:type="dxa"/>
          </w:tcPr>
          <w:p w14:paraId="34316D17" w14:textId="77777777" w:rsidR="00DD590A" w:rsidRPr="00B07464" w:rsidRDefault="00DD590A" w:rsidP="00DD590A">
            <w:pPr>
              <w:widowControl w:val="0"/>
              <w:spacing w:after="0" w:line="240" w:lineRule="auto"/>
              <w:rPr>
                <w:rFonts w:ascii="Arial" w:eastAsia="Calibri" w:hAnsi="Arial" w:cs="Arial"/>
                <w:lang w:val="en-US"/>
              </w:rPr>
            </w:pPr>
          </w:p>
          <w:p w14:paraId="6732DC6D" w14:textId="77777777" w:rsidR="00DD590A" w:rsidRPr="00B07464" w:rsidRDefault="00DD590A" w:rsidP="00DD590A">
            <w:pPr>
              <w:widowControl w:val="0"/>
              <w:spacing w:after="0" w:line="240" w:lineRule="auto"/>
              <w:rPr>
                <w:rFonts w:ascii="Arial" w:eastAsia="Calibri" w:hAnsi="Arial" w:cs="Arial"/>
                <w:lang w:val="en-US"/>
              </w:rPr>
            </w:pPr>
          </w:p>
          <w:p w14:paraId="253F2FF8" w14:textId="77777777" w:rsidR="00DD590A" w:rsidRPr="00B07464" w:rsidRDefault="00DD590A" w:rsidP="00DD590A">
            <w:pPr>
              <w:widowControl w:val="0"/>
              <w:spacing w:after="0" w:line="240" w:lineRule="auto"/>
              <w:rPr>
                <w:rFonts w:ascii="Arial" w:eastAsia="Calibri" w:hAnsi="Arial" w:cs="Arial"/>
                <w:lang w:val="en-US"/>
              </w:rPr>
            </w:pPr>
          </w:p>
          <w:p w14:paraId="042005EE" w14:textId="77777777" w:rsidR="00DD590A" w:rsidRPr="00B07464" w:rsidRDefault="00DD590A" w:rsidP="00DD590A">
            <w:pPr>
              <w:widowControl w:val="0"/>
              <w:spacing w:after="0" w:line="240" w:lineRule="auto"/>
              <w:rPr>
                <w:rFonts w:ascii="Arial" w:eastAsia="Calibri" w:hAnsi="Arial" w:cs="Arial"/>
                <w:lang w:val="en-US"/>
              </w:rPr>
            </w:pPr>
          </w:p>
          <w:p w14:paraId="5B901DDA" w14:textId="77777777" w:rsidR="00DD590A" w:rsidRDefault="00DD590A" w:rsidP="00DD590A">
            <w:pPr>
              <w:widowControl w:val="0"/>
              <w:spacing w:after="0" w:line="240" w:lineRule="auto"/>
              <w:rPr>
                <w:rFonts w:ascii="Arial" w:eastAsia="Calibri" w:hAnsi="Arial" w:cs="Arial"/>
                <w:lang w:val="en-US"/>
              </w:rPr>
            </w:pPr>
          </w:p>
          <w:p w14:paraId="42D61C59" w14:textId="77777777" w:rsidR="00B07464" w:rsidRPr="00B07464" w:rsidRDefault="00B07464" w:rsidP="00DD590A">
            <w:pPr>
              <w:widowControl w:val="0"/>
              <w:spacing w:after="0" w:line="240" w:lineRule="auto"/>
              <w:rPr>
                <w:rFonts w:ascii="Arial" w:eastAsia="Calibri" w:hAnsi="Arial" w:cs="Arial"/>
                <w:lang w:val="en-US"/>
              </w:rPr>
            </w:pPr>
          </w:p>
        </w:tc>
      </w:tr>
      <w:tr w:rsidR="00DD590A" w:rsidRPr="00B07464" w14:paraId="473F7A77" w14:textId="77777777" w:rsidTr="00DD590A">
        <w:trPr>
          <w:trHeight w:val="421"/>
          <w:jc w:val="center"/>
        </w:trPr>
        <w:tc>
          <w:tcPr>
            <w:tcW w:w="9136" w:type="dxa"/>
          </w:tcPr>
          <w:p w14:paraId="4482380F" w14:textId="77777777" w:rsidR="00DD590A" w:rsidRPr="00B07464" w:rsidRDefault="00DD590A" w:rsidP="00DD590A">
            <w:pPr>
              <w:widowControl w:val="0"/>
              <w:spacing w:after="0" w:line="240" w:lineRule="auto"/>
              <w:rPr>
                <w:rFonts w:ascii="Arial" w:eastAsia="Calibri" w:hAnsi="Arial" w:cs="Arial"/>
                <w:lang w:val="en-US"/>
              </w:rPr>
            </w:pPr>
          </w:p>
          <w:p w14:paraId="52AD6081" w14:textId="77777777" w:rsidR="00DD590A" w:rsidRDefault="00DD590A" w:rsidP="00DD590A">
            <w:pPr>
              <w:widowControl w:val="0"/>
              <w:spacing w:after="120" w:line="240" w:lineRule="auto"/>
              <w:rPr>
                <w:rFonts w:ascii="Arial" w:eastAsia="Calibri" w:hAnsi="Arial" w:cs="Arial"/>
                <w:lang w:val="en-US"/>
              </w:rPr>
            </w:pPr>
            <w:r w:rsidRPr="00B07464">
              <w:rPr>
                <w:rFonts w:ascii="Arial" w:eastAsia="Calibri" w:hAnsi="Arial" w:cs="Arial"/>
                <w:lang w:val="en-US"/>
              </w:rPr>
              <w:fldChar w:fldCharType="begin">
                <w:ffData>
                  <w:name w:val="Check24"/>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r w:rsidRPr="00B07464">
              <w:rPr>
                <w:rFonts w:ascii="Arial" w:eastAsia="Calibri" w:hAnsi="Arial" w:cs="Arial"/>
                <w:lang w:val="en-US"/>
              </w:rPr>
              <w:t xml:space="preserve">  Family declined involvement</w:t>
            </w:r>
          </w:p>
          <w:p w14:paraId="605C1286" w14:textId="77777777" w:rsidR="00B07464" w:rsidRPr="00B07464" w:rsidRDefault="00B07464" w:rsidP="00DD590A">
            <w:pPr>
              <w:widowControl w:val="0"/>
              <w:spacing w:after="120" w:line="240" w:lineRule="auto"/>
              <w:rPr>
                <w:rFonts w:ascii="Arial" w:eastAsia="Calibri" w:hAnsi="Arial" w:cs="Arial"/>
                <w:lang w:val="en-US"/>
              </w:rPr>
            </w:pPr>
          </w:p>
        </w:tc>
      </w:tr>
    </w:tbl>
    <w:p w14:paraId="694A14A0" w14:textId="77777777" w:rsidR="00DD590A" w:rsidRPr="00B07464" w:rsidRDefault="00DD590A" w:rsidP="00DD590A">
      <w:pPr>
        <w:widowControl w:val="0"/>
        <w:spacing w:after="0" w:line="240" w:lineRule="auto"/>
        <w:ind w:left="1985"/>
        <w:rPr>
          <w:rFonts w:ascii="Arial" w:eastAsia="Calibri" w:hAnsi="Arial" w:cs="Arial"/>
          <w:b/>
          <w:i/>
          <w:lang w:val="en-US"/>
        </w:rPr>
      </w:pPr>
    </w:p>
    <w:p w14:paraId="5A061F75" w14:textId="77777777" w:rsidR="00DD590A" w:rsidRPr="00B07464" w:rsidRDefault="00DD590A" w:rsidP="00DD590A">
      <w:pPr>
        <w:widowControl w:val="0"/>
        <w:spacing w:after="0" w:line="240" w:lineRule="auto"/>
        <w:ind w:left="1985"/>
        <w:rPr>
          <w:rFonts w:ascii="Arial" w:eastAsia="Calibri" w:hAnsi="Arial" w:cs="Arial"/>
          <w:b/>
          <w:i/>
          <w:lang w:val="en-US"/>
        </w:rPr>
      </w:pPr>
    </w:p>
    <w:p w14:paraId="37F1A378" w14:textId="77777777" w:rsidR="00DD590A" w:rsidRDefault="00DD590A" w:rsidP="00DD590A">
      <w:pPr>
        <w:widowControl w:val="0"/>
        <w:spacing w:after="0" w:line="240" w:lineRule="auto"/>
        <w:ind w:left="1985"/>
        <w:rPr>
          <w:rFonts w:ascii="Arial" w:eastAsia="Calibri" w:hAnsi="Arial" w:cs="Arial"/>
          <w:b/>
          <w:i/>
          <w:lang w:val="en-US"/>
        </w:rPr>
      </w:pPr>
    </w:p>
    <w:p w14:paraId="4C1915E0" w14:textId="77777777" w:rsidR="00B07464" w:rsidRDefault="00B07464" w:rsidP="00DD590A">
      <w:pPr>
        <w:widowControl w:val="0"/>
        <w:spacing w:after="0" w:line="240" w:lineRule="auto"/>
        <w:ind w:left="1985"/>
        <w:rPr>
          <w:rFonts w:ascii="Arial" w:eastAsia="Calibri" w:hAnsi="Arial" w:cs="Arial"/>
          <w:b/>
          <w:i/>
          <w:lang w:val="en-US"/>
        </w:rPr>
      </w:pPr>
    </w:p>
    <w:p w14:paraId="7968FFB3" w14:textId="77777777" w:rsidR="00B07464" w:rsidRDefault="00B07464" w:rsidP="00DD590A">
      <w:pPr>
        <w:widowControl w:val="0"/>
        <w:spacing w:after="0" w:line="240" w:lineRule="auto"/>
        <w:ind w:left="1985"/>
        <w:rPr>
          <w:rFonts w:ascii="Arial" w:eastAsia="Calibri" w:hAnsi="Arial" w:cs="Arial"/>
          <w:b/>
          <w:i/>
          <w:lang w:val="en-US"/>
        </w:rPr>
      </w:pPr>
    </w:p>
    <w:p w14:paraId="4C266140" w14:textId="77777777" w:rsidR="00B07464" w:rsidRDefault="00B07464" w:rsidP="00DD590A">
      <w:pPr>
        <w:widowControl w:val="0"/>
        <w:spacing w:after="0" w:line="240" w:lineRule="auto"/>
        <w:ind w:left="1985"/>
        <w:rPr>
          <w:rFonts w:ascii="Arial" w:eastAsia="Calibri" w:hAnsi="Arial" w:cs="Arial"/>
          <w:b/>
          <w:i/>
          <w:lang w:val="en-US"/>
        </w:rPr>
      </w:pPr>
    </w:p>
    <w:p w14:paraId="776DAB63" w14:textId="77777777" w:rsidR="00B07464" w:rsidRDefault="00B07464" w:rsidP="00DD590A">
      <w:pPr>
        <w:widowControl w:val="0"/>
        <w:spacing w:after="0" w:line="240" w:lineRule="auto"/>
        <w:ind w:left="1985"/>
        <w:rPr>
          <w:rFonts w:ascii="Arial" w:eastAsia="Calibri" w:hAnsi="Arial" w:cs="Arial"/>
          <w:b/>
          <w:i/>
          <w:lang w:val="en-US"/>
        </w:rPr>
      </w:pPr>
    </w:p>
    <w:p w14:paraId="4554FEAF" w14:textId="77777777" w:rsidR="00B07464" w:rsidRDefault="00B07464" w:rsidP="00DD590A">
      <w:pPr>
        <w:widowControl w:val="0"/>
        <w:spacing w:after="0" w:line="240" w:lineRule="auto"/>
        <w:ind w:left="1985"/>
        <w:rPr>
          <w:rFonts w:ascii="Arial" w:eastAsia="Calibri" w:hAnsi="Arial" w:cs="Arial"/>
          <w:b/>
          <w:i/>
          <w:lang w:val="en-US"/>
        </w:rPr>
      </w:pPr>
    </w:p>
    <w:p w14:paraId="68BB5404" w14:textId="77777777" w:rsidR="00B07464" w:rsidRPr="00B07464" w:rsidRDefault="00B07464" w:rsidP="00DD590A">
      <w:pPr>
        <w:widowControl w:val="0"/>
        <w:spacing w:after="0" w:line="240" w:lineRule="auto"/>
        <w:ind w:left="1985"/>
        <w:rPr>
          <w:rFonts w:ascii="Arial" w:eastAsia="Calibri" w:hAnsi="Arial" w:cs="Arial"/>
          <w:b/>
          <w:i/>
          <w:lang w:val="en-US"/>
        </w:rPr>
      </w:pPr>
    </w:p>
    <w:tbl>
      <w:tblPr>
        <w:tblW w:w="913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136"/>
      </w:tblGrid>
      <w:tr w:rsidR="00DD590A" w:rsidRPr="00B07464" w14:paraId="2EB36DEC" w14:textId="77777777" w:rsidTr="00DD590A">
        <w:trPr>
          <w:trHeight w:val="4799"/>
          <w:jc w:val="center"/>
        </w:trPr>
        <w:tc>
          <w:tcPr>
            <w:tcW w:w="9136" w:type="dxa"/>
            <w:tcBorders>
              <w:top w:val="dashed" w:sz="4" w:space="0" w:color="auto"/>
              <w:left w:val="dashed" w:sz="4" w:space="0" w:color="auto"/>
              <w:bottom w:val="dashed" w:sz="4" w:space="0" w:color="auto"/>
              <w:right w:val="dashed" w:sz="4" w:space="0" w:color="auto"/>
            </w:tcBorders>
            <w:shd w:val="clear" w:color="auto" w:fill="E6E6E6"/>
          </w:tcPr>
          <w:p w14:paraId="7593127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For Welsh Government use only</w:t>
            </w:r>
          </w:p>
          <w:p w14:paraId="26393AF9"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Date information received </w:t>
            </w:r>
            <w:r w:rsidRPr="00B07464">
              <w:rPr>
                <w:rFonts w:ascii="Arial" w:eastAsia="Calibri" w:hAnsi="Arial" w:cs="Arial"/>
                <w:lang w:val="en-US"/>
              </w:rPr>
              <w:tab/>
              <w:t xml:space="preserve">                                       ……………………</w:t>
            </w:r>
            <w:proofErr w:type="gramStart"/>
            <w:r w:rsidRPr="00B07464">
              <w:rPr>
                <w:rFonts w:ascii="Arial" w:eastAsia="Calibri" w:hAnsi="Arial" w:cs="Arial"/>
                <w:lang w:val="en-US"/>
              </w:rPr>
              <w:t>…..</w:t>
            </w:r>
            <w:proofErr w:type="gramEnd"/>
          </w:p>
          <w:p w14:paraId="7C983C25"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77484189"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Date acknowledgment letter sent to Board Chair</w:t>
            </w:r>
            <w:r w:rsidRPr="00B07464">
              <w:rPr>
                <w:rFonts w:ascii="Arial" w:eastAsia="Calibri" w:hAnsi="Arial" w:cs="Arial"/>
                <w:lang w:val="en-US"/>
              </w:rPr>
              <w:tab/>
              <w:t xml:space="preserve">    …………………………   </w:t>
            </w:r>
          </w:p>
          <w:p w14:paraId="2A072CC4" w14:textId="77777777" w:rsidR="00DD590A" w:rsidRPr="00B07464" w:rsidRDefault="00DD590A" w:rsidP="00DD590A">
            <w:pPr>
              <w:widowControl w:val="0"/>
              <w:spacing w:after="0" w:line="240" w:lineRule="auto"/>
              <w:rPr>
                <w:rFonts w:ascii="Arial" w:eastAsia="Calibri" w:hAnsi="Arial" w:cs="Arial"/>
                <w:lang w:val="en-US"/>
              </w:rPr>
            </w:pPr>
          </w:p>
          <w:p w14:paraId="704D28C0"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Date circulated to relevant inspectorates/Policy Leads ………………………….</w:t>
            </w:r>
          </w:p>
          <w:p w14:paraId="5B214DE0" w14:textId="77777777" w:rsidR="00DD590A" w:rsidRPr="00B07464" w:rsidRDefault="00DD590A" w:rsidP="00DD590A">
            <w:pPr>
              <w:widowControl w:val="0"/>
              <w:spacing w:after="0" w:line="240" w:lineRule="auto"/>
              <w:rPr>
                <w:rFonts w:ascii="Arial" w:eastAsia="Calibri"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1082"/>
              <w:gridCol w:w="1082"/>
              <w:gridCol w:w="4148"/>
            </w:tblGrid>
            <w:tr w:rsidR="00DD590A" w:rsidRPr="00B07464" w14:paraId="65269B98"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27B57B9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Agencies</w:t>
                  </w:r>
                </w:p>
              </w:tc>
              <w:tc>
                <w:tcPr>
                  <w:tcW w:w="1082" w:type="dxa"/>
                  <w:tcBorders>
                    <w:top w:val="single" w:sz="4" w:space="0" w:color="auto"/>
                    <w:left w:val="single" w:sz="4" w:space="0" w:color="auto"/>
                    <w:bottom w:val="single" w:sz="4" w:space="0" w:color="auto"/>
                    <w:right w:val="single" w:sz="4" w:space="0" w:color="auto"/>
                  </w:tcBorders>
                  <w:vAlign w:val="center"/>
                </w:tcPr>
                <w:p w14:paraId="78533B4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Yes</w:t>
                  </w:r>
                </w:p>
              </w:tc>
              <w:tc>
                <w:tcPr>
                  <w:tcW w:w="1082" w:type="dxa"/>
                  <w:tcBorders>
                    <w:top w:val="single" w:sz="4" w:space="0" w:color="auto"/>
                    <w:left w:val="single" w:sz="4" w:space="0" w:color="auto"/>
                    <w:bottom w:val="single" w:sz="4" w:space="0" w:color="auto"/>
                    <w:right w:val="single" w:sz="4" w:space="0" w:color="auto"/>
                  </w:tcBorders>
                  <w:vAlign w:val="center"/>
                </w:tcPr>
                <w:p w14:paraId="2C16E4F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No</w:t>
                  </w:r>
                </w:p>
              </w:tc>
              <w:tc>
                <w:tcPr>
                  <w:tcW w:w="4148" w:type="dxa"/>
                  <w:tcBorders>
                    <w:top w:val="single" w:sz="4" w:space="0" w:color="auto"/>
                    <w:left w:val="single" w:sz="4" w:space="0" w:color="auto"/>
                    <w:bottom w:val="single" w:sz="4" w:space="0" w:color="auto"/>
                    <w:right w:val="single" w:sz="4" w:space="0" w:color="auto"/>
                  </w:tcBorders>
                </w:tcPr>
                <w:p w14:paraId="0559E804"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Reason</w:t>
                  </w:r>
                </w:p>
              </w:tc>
            </w:tr>
            <w:tr w:rsidR="00DD590A" w:rsidRPr="00B07464" w14:paraId="2AC3E005"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152C14A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CSSIW</w:t>
                  </w:r>
                </w:p>
              </w:tc>
              <w:tc>
                <w:tcPr>
                  <w:tcW w:w="1082" w:type="dxa"/>
                  <w:tcBorders>
                    <w:top w:val="single" w:sz="4" w:space="0" w:color="auto"/>
                    <w:left w:val="single" w:sz="4" w:space="0" w:color="auto"/>
                    <w:bottom w:val="single" w:sz="4" w:space="0" w:color="auto"/>
                    <w:right w:val="single" w:sz="4" w:space="0" w:color="auto"/>
                  </w:tcBorders>
                  <w:vAlign w:val="center"/>
                </w:tcPr>
                <w:p w14:paraId="5720020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vAlign w:val="center"/>
                </w:tcPr>
                <w:p w14:paraId="01F9F64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tcPr>
                <w:p w14:paraId="6D6A86D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1BE08249"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3775D83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roofErr w:type="spellStart"/>
                  <w:r w:rsidRPr="00B07464">
                    <w:rPr>
                      <w:rFonts w:ascii="Arial" w:eastAsia="Calibri" w:hAnsi="Arial" w:cs="Arial"/>
                      <w:lang w:val="en-US"/>
                    </w:rPr>
                    <w:t>Estyn</w:t>
                  </w:r>
                  <w:proofErr w:type="spellEnd"/>
                </w:p>
              </w:tc>
              <w:tc>
                <w:tcPr>
                  <w:tcW w:w="1082" w:type="dxa"/>
                  <w:tcBorders>
                    <w:top w:val="single" w:sz="4" w:space="0" w:color="auto"/>
                    <w:left w:val="single" w:sz="4" w:space="0" w:color="auto"/>
                    <w:bottom w:val="single" w:sz="4" w:space="0" w:color="auto"/>
                    <w:right w:val="single" w:sz="4" w:space="0" w:color="auto"/>
                  </w:tcBorders>
                  <w:vAlign w:val="center"/>
                </w:tcPr>
                <w:p w14:paraId="3EF56D6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vAlign w:val="center"/>
                </w:tcPr>
                <w:p w14:paraId="68721E8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tcPr>
                <w:p w14:paraId="7D0AA17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3CDF970B"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0EF2E55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HIW</w:t>
                  </w:r>
                </w:p>
              </w:tc>
              <w:tc>
                <w:tcPr>
                  <w:tcW w:w="1082" w:type="dxa"/>
                  <w:tcBorders>
                    <w:top w:val="single" w:sz="4" w:space="0" w:color="auto"/>
                    <w:left w:val="single" w:sz="4" w:space="0" w:color="auto"/>
                    <w:bottom w:val="single" w:sz="4" w:space="0" w:color="auto"/>
                    <w:right w:val="single" w:sz="4" w:space="0" w:color="auto"/>
                  </w:tcBorders>
                  <w:vAlign w:val="center"/>
                </w:tcPr>
                <w:p w14:paraId="175504A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vAlign w:val="center"/>
                </w:tcPr>
                <w:p w14:paraId="339FA66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tcPr>
                <w:p w14:paraId="0EBE7D74"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38DD68C7"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68B25AE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HMI Constabulary</w:t>
                  </w:r>
                </w:p>
              </w:tc>
              <w:tc>
                <w:tcPr>
                  <w:tcW w:w="1082" w:type="dxa"/>
                  <w:tcBorders>
                    <w:top w:val="single" w:sz="4" w:space="0" w:color="auto"/>
                    <w:left w:val="single" w:sz="4" w:space="0" w:color="auto"/>
                    <w:bottom w:val="single" w:sz="4" w:space="0" w:color="auto"/>
                    <w:right w:val="single" w:sz="4" w:space="0" w:color="auto"/>
                  </w:tcBorders>
                  <w:vAlign w:val="center"/>
                </w:tcPr>
                <w:p w14:paraId="1D56754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vAlign w:val="center"/>
                </w:tcPr>
                <w:p w14:paraId="18DE46C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tcPr>
                <w:p w14:paraId="224E81F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04B1A2BA" w14:textId="77777777" w:rsidTr="00544CAF">
              <w:trPr>
                <w:trHeight w:val="389"/>
              </w:trPr>
              <w:tc>
                <w:tcPr>
                  <w:tcW w:w="2484" w:type="dxa"/>
                  <w:tcBorders>
                    <w:top w:val="single" w:sz="4" w:space="0" w:color="auto"/>
                    <w:left w:val="single" w:sz="4" w:space="0" w:color="auto"/>
                    <w:bottom w:val="single" w:sz="4" w:space="0" w:color="auto"/>
                    <w:right w:val="single" w:sz="4" w:space="0" w:color="auto"/>
                  </w:tcBorders>
                  <w:vAlign w:val="center"/>
                </w:tcPr>
                <w:p w14:paraId="2109780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HMI Probation</w:t>
                  </w:r>
                </w:p>
              </w:tc>
              <w:tc>
                <w:tcPr>
                  <w:tcW w:w="1082" w:type="dxa"/>
                  <w:tcBorders>
                    <w:top w:val="single" w:sz="4" w:space="0" w:color="auto"/>
                    <w:left w:val="single" w:sz="4" w:space="0" w:color="auto"/>
                    <w:bottom w:val="single" w:sz="4" w:space="0" w:color="auto"/>
                    <w:right w:val="single" w:sz="4" w:space="0" w:color="auto"/>
                  </w:tcBorders>
                  <w:vAlign w:val="center"/>
                </w:tcPr>
                <w:p w14:paraId="034E874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vAlign w:val="center"/>
                </w:tcPr>
                <w:p w14:paraId="76A957E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Pr="00B07464">
                    <w:rPr>
                      <w:rFonts w:ascii="Arial" w:eastAsia="Calibri" w:hAnsi="Arial" w:cs="Arial"/>
                      <w:lang w:val="en-US"/>
                    </w:rPr>
                  </w:r>
                  <w:r w:rsidRPr="00B07464">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tcPr>
                <w:p w14:paraId="599D5ACF"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bl>
          <w:p w14:paraId="2DBC5FC9" w14:textId="77777777" w:rsidR="00DD590A" w:rsidRPr="00B07464" w:rsidRDefault="00DD590A" w:rsidP="00DD590A">
            <w:pPr>
              <w:widowControl w:val="0"/>
              <w:spacing w:after="0" w:line="240" w:lineRule="auto"/>
              <w:rPr>
                <w:rFonts w:ascii="Arial" w:eastAsia="Calibri" w:hAnsi="Arial" w:cs="Arial"/>
                <w:lang w:val="en-US"/>
              </w:rPr>
            </w:pPr>
          </w:p>
        </w:tc>
      </w:tr>
    </w:tbl>
    <w:p w14:paraId="348CD0A6" w14:textId="77777777" w:rsidR="00DD590A" w:rsidRPr="00B07464" w:rsidRDefault="00DD590A" w:rsidP="00DD590A">
      <w:pPr>
        <w:widowControl w:val="0"/>
        <w:spacing w:after="0" w:line="240" w:lineRule="auto"/>
        <w:ind w:left="1985"/>
        <w:rPr>
          <w:rFonts w:ascii="Arial" w:eastAsia="Calibri" w:hAnsi="Arial" w:cs="Arial"/>
          <w:b/>
          <w:i/>
          <w:lang w:val="en-US"/>
        </w:rPr>
      </w:pPr>
    </w:p>
    <w:p w14:paraId="192D48F3" w14:textId="77777777" w:rsidR="00DD590A" w:rsidRPr="00B07464" w:rsidRDefault="00DD590A" w:rsidP="00DD590A">
      <w:pPr>
        <w:widowControl w:val="0"/>
        <w:spacing w:after="0" w:line="240" w:lineRule="auto"/>
        <w:ind w:left="1985"/>
        <w:rPr>
          <w:rFonts w:ascii="Arial" w:eastAsia="Calibri" w:hAnsi="Arial" w:cs="Arial"/>
          <w:b/>
          <w:i/>
          <w:lang w:val="en-US"/>
        </w:rPr>
      </w:pPr>
    </w:p>
    <w:p w14:paraId="7954412E" w14:textId="77777777" w:rsidR="00DD590A" w:rsidRPr="00B07464" w:rsidRDefault="00DD590A">
      <w:pPr>
        <w:rPr>
          <w:rFonts w:ascii="Arial" w:hAnsi="Arial" w:cs="Arial"/>
        </w:rPr>
      </w:pPr>
    </w:p>
    <w:sectPr w:rsidR="00DD590A" w:rsidRPr="00B07464" w:rsidSect="006347BB">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74B4" w14:textId="77777777" w:rsidR="00644184" w:rsidRDefault="00644184" w:rsidP="00DD590A">
      <w:pPr>
        <w:spacing w:after="0" w:line="240" w:lineRule="auto"/>
      </w:pPr>
      <w:r>
        <w:separator/>
      </w:r>
    </w:p>
  </w:endnote>
  <w:endnote w:type="continuationSeparator" w:id="0">
    <w:p w14:paraId="453F22D0" w14:textId="77777777" w:rsidR="00644184" w:rsidRDefault="00644184" w:rsidP="00DD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114575"/>
      <w:docPartObj>
        <w:docPartGallery w:val="Page Numbers (Bottom of Page)"/>
        <w:docPartUnique/>
      </w:docPartObj>
    </w:sdtPr>
    <w:sdtEndPr>
      <w:rPr>
        <w:noProof/>
      </w:rPr>
    </w:sdtEndPr>
    <w:sdtContent>
      <w:p w14:paraId="4DC29B88" w14:textId="77777777" w:rsidR="00720707" w:rsidRDefault="007207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D587B3" w14:textId="77777777" w:rsidR="00B204AF" w:rsidRDefault="00B2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FCD27" w14:textId="77777777" w:rsidR="00644184" w:rsidRDefault="00644184" w:rsidP="00DD590A">
      <w:pPr>
        <w:spacing w:after="0" w:line="240" w:lineRule="auto"/>
      </w:pPr>
      <w:r>
        <w:separator/>
      </w:r>
    </w:p>
  </w:footnote>
  <w:footnote w:type="continuationSeparator" w:id="0">
    <w:p w14:paraId="3A2E3069" w14:textId="77777777" w:rsidR="00644184" w:rsidRDefault="00644184" w:rsidP="00DD590A">
      <w:pPr>
        <w:spacing w:after="0" w:line="240" w:lineRule="auto"/>
      </w:pPr>
      <w:r>
        <w:continuationSeparator/>
      </w:r>
    </w:p>
  </w:footnote>
  <w:footnote w:id="1">
    <w:p w14:paraId="45D05283" w14:textId="2A2C844E" w:rsidR="005F58EC" w:rsidRDefault="00FA7F0B" w:rsidP="00FA7F0B">
      <w:pPr>
        <w:pStyle w:val="FootnoteText"/>
      </w:pPr>
      <w:r>
        <w:rPr>
          <w:rStyle w:val="FootnoteReference"/>
        </w:rPr>
        <w:footnoteRef/>
      </w:r>
      <w:r>
        <w:t xml:space="preserve"> Report of an unannounced inspection of HMP Parc by HM Chief Inspector of Prisons. July 2022. </w:t>
      </w:r>
      <w:hyperlink r:id="rId1" w:history="1">
        <w:r w:rsidRPr="00496F52">
          <w:rPr>
            <w:rStyle w:val="Hyperlink"/>
          </w:rPr>
          <w:t>https://hmiprisons.justiceinspectorates.gov.uk/hmipris_reports/hmp-parc/</w:t>
        </w:r>
      </w:hyperlink>
      <w:r>
        <w:t xml:space="preserve"> </w:t>
      </w:r>
    </w:p>
  </w:footnote>
  <w:footnote w:id="2">
    <w:p w14:paraId="63FA3325" w14:textId="77777777" w:rsidR="00FA7F0B" w:rsidRDefault="00FA7F0B" w:rsidP="00FA7F0B">
      <w:pPr>
        <w:pStyle w:val="FootnoteText"/>
      </w:pPr>
      <w:r>
        <w:rPr>
          <w:rStyle w:val="FootnoteReference"/>
        </w:rPr>
        <w:footnoteRef/>
      </w:r>
      <w:r>
        <w:t xml:space="preserve"> Op cit. p5</w:t>
      </w:r>
    </w:p>
  </w:footnote>
  <w:footnote w:id="3">
    <w:p w14:paraId="1088FE31" w14:textId="77777777" w:rsidR="00FA7F0B" w:rsidRDefault="00FA7F0B" w:rsidP="00FA7F0B">
      <w:pPr>
        <w:pStyle w:val="FootnoteText"/>
      </w:pPr>
      <w:r>
        <w:rPr>
          <w:rStyle w:val="FootnoteReference"/>
        </w:rPr>
        <w:footnoteRef/>
      </w:r>
      <w:r>
        <w:t xml:space="preserve"> Op cit. para 4.72</w:t>
      </w:r>
    </w:p>
  </w:footnote>
  <w:footnote w:id="4">
    <w:p w14:paraId="728C58EB" w14:textId="77777777" w:rsidR="00FA7F0B" w:rsidRDefault="00FA7F0B" w:rsidP="00FA7F0B">
      <w:pPr>
        <w:pStyle w:val="FootnoteText"/>
      </w:pPr>
      <w:r>
        <w:rPr>
          <w:rStyle w:val="FootnoteReference"/>
        </w:rPr>
        <w:footnoteRef/>
      </w:r>
      <w:r>
        <w:t xml:space="preserve"> Report of an unannounced inspection of HMP Parc by HM Chief Inspector of Prisons. November 2019 para 2.63</w:t>
      </w:r>
    </w:p>
  </w:footnote>
  <w:footnote w:id="5">
    <w:p w14:paraId="0D3C1547" w14:textId="77777777" w:rsidR="00FA7F0B" w:rsidRDefault="00FA7F0B" w:rsidP="00FA7F0B">
      <w:pPr>
        <w:pStyle w:val="FootnoteText"/>
      </w:pPr>
      <w:r>
        <w:rPr>
          <w:rStyle w:val="FootnoteReference"/>
        </w:rPr>
        <w:footnoteRef/>
      </w:r>
      <w:r>
        <w:t xml:space="preserve"> HMP Parc Health and Social Care Needs Assessment. Commissioned by Cwm Taf Morgannwg Health Board</w:t>
      </w:r>
    </w:p>
  </w:footnote>
  <w:footnote w:id="6">
    <w:p w14:paraId="5508F977" w14:textId="77777777" w:rsidR="00FA7F0B" w:rsidRDefault="00FA7F0B" w:rsidP="00FA7F0B">
      <w:pPr>
        <w:pStyle w:val="FootnoteText"/>
      </w:pPr>
      <w:r>
        <w:rPr>
          <w:rStyle w:val="FootnoteReference"/>
        </w:rPr>
        <w:footnoteRef/>
      </w:r>
      <w:r>
        <w:t xml:space="preserve"> Op </w:t>
      </w:r>
      <w:proofErr w:type="spellStart"/>
      <w:r>
        <w:t>cit</w:t>
      </w:r>
      <w:proofErr w:type="spellEnd"/>
      <w:r>
        <w:t xml:space="preserve"> p52</w:t>
      </w:r>
    </w:p>
  </w:footnote>
  <w:footnote w:id="7">
    <w:p w14:paraId="272CEC38" w14:textId="6CC87087" w:rsidR="00BB16D6" w:rsidRPr="00BB16D6" w:rsidRDefault="00BB16D6">
      <w:pPr>
        <w:pStyle w:val="FootnoteText"/>
      </w:pPr>
      <w:r>
        <w:rPr>
          <w:rStyle w:val="FootnoteReference"/>
        </w:rPr>
        <w:footnoteRef/>
      </w:r>
      <w:r>
        <w:t xml:space="preserve"> </w:t>
      </w:r>
      <w:r w:rsidRPr="00BB16D6">
        <w:rPr>
          <w:rFonts w:ascii="Aptos" w:hAnsi="Aptos"/>
          <w:color w:val="000000"/>
        </w:rPr>
        <w:t>Report on an unannounced inspection of HMP Parc by HM Chief Inspector of Prisons, 6–17 January 2025</w:t>
      </w:r>
      <w:r w:rsidR="00836BCB">
        <w:rPr>
          <w:rFonts w:ascii="Aptos" w:hAnsi="Aptos"/>
          <w:color w:val="000000"/>
        </w:rPr>
        <w:t xml:space="preserve"> </w:t>
      </w:r>
      <w:hyperlink r:id="rId2" w:history="1">
        <w:r w:rsidR="00836BCB" w:rsidRPr="008F43E8">
          <w:rPr>
            <w:rStyle w:val="Hyperlink"/>
            <w:rFonts w:ascii="Aptos" w:hAnsi="Aptos"/>
          </w:rPr>
          <w:t>https://hmiprisons.justiceinspectorates.gov.uk/hmipris_reports/hmp-parc-3/</w:t>
        </w:r>
      </w:hyperlink>
      <w:r w:rsidR="00836BCB">
        <w:rPr>
          <w:rFonts w:ascii="Aptos" w:hAnsi="Aptos"/>
          <w:color w:val="000000"/>
        </w:rPr>
        <w:t xml:space="preserve"> </w:t>
      </w:r>
    </w:p>
  </w:footnote>
  <w:footnote w:id="8">
    <w:p w14:paraId="54573EAB" w14:textId="77777777" w:rsidR="00895DD2" w:rsidRDefault="00895DD2">
      <w:pPr>
        <w:pStyle w:val="FootnoteText"/>
      </w:pPr>
      <w:r>
        <w:rPr>
          <w:rStyle w:val="FootnoteReference"/>
        </w:rPr>
        <w:footnoteRef/>
      </w:r>
      <w:r>
        <w:t xml:space="preserve"> Severe mental illness (SMI) and physical health inequalities: briefing. Public Health England 2018. </w:t>
      </w:r>
      <w:hyperlink r:id="rId3" w:history="1">
        <w:r w:rsidRPr="00496F52">
          <w:rPr>
            <w:rStyle w:val="Hyperlink"/>
          </w:rPr>
          <w:t>https://www.gov.uk/government/publications/severe-mental-illness-smi-physical-health-inequalities/severe-mental-illness-and-physical-health-inequalities-briefing</w:t>
        </w:r>
      </w:hyperlink>
    </w:p>
  </w:footnote>
  <w:footnote w:id="9">
    <w:p w14:paraId="320C0A4D" w14:textId="77777777" w:rsidR="00FA7F0B" w:rsidRDefault="00FA7F0B" w:rsidP="00FA7F0B">
      <w:pPr>
        <w:pStyle w:val="FootnoteText"/>
      </w:pPr>
      <w:r>
        <w:rPr>
          <w:rStyle w:val="FootnoteReference"/>
        </w:rPr>
        <w:footnoteRef/>
      </w:r>
      <w:r>
        <w:t xml:space="preserve"> Mental Health Act 1983 s1(2)</w:t>
      </w:r>
    </w:p>
  </w:footnote>
  <w:footnote w:id="10">
    <w:p w14:paraId="14B897FA" w14:textId="271E03C3" w:rsidR="00C11954" w:rsidRDefault="00C11954">
      <w:pPr>
        <w:pStyle w:val="FootnoteText"/>
      </w:pPr>
      <w:r>
        <w:rPr>
          <w:rStyle w:val="FootnoteReference"/>
        </w:rPr>
        <w:footnoteRef/>
      </w:r>
      <w:r>
        <w:t xml:space="preserve"> </w:t>
      </w:r>
      <w:r w:rsidR="00A07774">
        <w:t>Mental Health Act 1983 Code of Practice for Wales Review. 2016. 2.13</w:t>
      </w:r>
    </w:p>
  </w:footnote>
  <w:footnote w:id="11">
    <w:p w14:paraId="274DD2E5" w14:textId="6273E7FD" w:rsidR="00A07774" w:rsidRDefault="00A07774">
      <w:pPr>
        <w:pStyle w:val="FootnoteText"/>
      </w:pPr>
      <w:r>
        <w:rPr>
          <w:rStyle w:val="FootnoteReference"/>
        </w:rPr>
        <w:footnoteRef/>
      </w:r>
      <w:r>
        <w:t xml:space="preserve"> Op cit. 2.7</w:t>
      </w:r>
    </w:p>
  </w:footnote>
  <w:footnote w:id="12">
    <w:p w14:paraId="46016E61" w14:textId="59348FBD" w:rsidR="00A07774" w:rsidRDefault="00A07774">
      <w:pPr>
        <w:pStyle w:val="FootnoteText"/>
      </w:pPr>
      <w:r>
        <w:rPr>
          <w:rStyle w:val="FootnoteReference"/>
        </w:rPr>
        <w:footnoteRef/>
      </w:r>
      <w:r>
        <w:t xml:space="preserve"> Op </w:t>
      </w:r>
      <w:proofErr w:type="spellStart"/>
      <w:r>
        <w:t>cit</w:t>
      </w:r>
      <w:proofErr w:type="spellEnd"/>
      <w:r>
        <w:t xml:space="preserve"> 14.111</w:t>
      </w:r>
    </w:p>
  </w:footnote>
  <w:footnote w:id="13">
    <w:p w14:paraId="35B837EF" w14:textId="77777777" w:rsidR="00FA7F0B" w:rsidRDefault="00FA7F0B" w:rsidP="00FA7F0B">
      <w:pPr>
        <w:pStyle w:val="FootnoteText"/>
      </w:pPr>
      <w:r>
        <w:rPr>
          <w:rStyle w:val="FootnoteReference"/>
        </w:rPr>
        <w:footnoteRef/>
      </w:r>
      <w:r>
        <w:t xml:space="preserve"> </w:t>
      </w:r>
      <w:hyperlink r:id="rId4" w:history="1">
        <w:r w:rsidRPr="00496F52">
          <w:rPr>
            <w:rStyle w:val="Hyperlink"/>
          </w:rPr>
          <w:t>https://icdlist.com/icd-10/Z76.5</w:t>
        </w:r>
      </w:hyperlink>
      <w:r>
        <w:t xml:space="preserve"> </w:t>
      </w:r>
    </w:p>
  </w:footnote>
  <w:footnote w:id="14">
    <w:p w14:paraId="7746A762" w14:textId="77777777" w:rsidR="00845A73" w:rsidRPr="005F3EE3" w:rsidRDefault="00845A73" w:rsidP="00845A73">
      <w:pPr>
        <w:pStyle w:val="FootnoteText"/>
        <w:rPr>
          <w:rFonts w:ascii="Calibri" w:hAnsi="Calibri" w:cs="Calibri"/>
        </w:rPr>
      </w:pPr>
      <w:r w:rsidRPr="005F3EE3">
        <w:rPr>
          <w:rStyle w:val="FootnoteReference"/>
          <w:rFonts w:ascii="Calibri" w:hAnsi="Calibri" w:cs="Calibri"/>
        </w:rPr>
        <w:footnoteRef/>
      </w:r>
      <w:r w:rsidRPr="005F3EE3">
        <w:rPr>
          <w:rFonts w:ascii="Calibri" w:hAnsi="Calibri" w:cs="Calibri"/>
        </w:rPr>
        <w:t xml:space="preserve"> Short-term holding power to enable an inpatient to continue to be detained pending a full MHA assessment</w:t>
      </w:r>
    </w:p>
  </w:footnote>
  <w:footnote w:id="15">
    <w:p w14:paraId="6C905974" w14:textId="77777777" w:rsidR="00FA7F0B" w:rsidRDefault="00FA7F0B" w:rsidP="00FA7F0B">
      <w:pPr>
        <w:pStyle w:val="FootnoteText"/>
      </w:pPr>
      <w:r>
        <w:rPr>
          <w:rStyle w:val="FootnoteReference"/>
        </w:rPr>
        <w:footnoteRef/>
      </w:r>
      <w:r>
        <w:t xml:space="preserve"> Mental Health Act 1983 Code of Practice for Wales Review. Revised 2016. Para 33.17</w:t>
      </w:r>
    </w:p>
  </w:footnote>
  <w:footnote w:id="16">
    <w:p w14:paraId="78C4A4E8" w14:textId="77777777" w:rsidR="00FA7F0B" w:rsidRDefault="00FA7F0B" w:rsidP="00FA7F0B">
      <w:pPr>
        <w:pStyle w:val="FootnoteText"/>
      </w:pPr>
      <w:r>
        <w:rPr>
          <w:rStyle w:val="FootnoteReference"/>
        </w:rPr>
        <w:footnoteRef/>
      </w:r>
      <w:r>
        <w:t xml:space="preserve"> Severe Mental Illness</w:t>
      </w:r>
    </w:p>
  </w:footnote>
  <w:footnote w:id="17">
    <w:p w14:paraId="2AF75C88" w14:textId="77777777" w:rsidR="00FB4433" w:rsidRDefault="00FB4433" w:rsidP="00FB4433">
      <w:pPr>
        <w:pStyle w:val="FootnoteText"/>
      </w:pPr>
      <w:r>
        <w:rPr>
          <w:rStyle w:val="FootnoteReference"/>
        </w:rPr>
        <w:footnoteRef/>
      </w:r>
      <w:r>
        <w:t xml:space="preserve"> Assistant Chief Constable of South Wales Police, and the Head of Probation Delivery Unit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8895" w14:textId="1ECE9525" w:rsidR="00836BCB" w:rsidRDefault="00836BCB" w:rsidP="00836B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388"/>
    <w:multiLevelType w:val="hybridMultilevel"/>
    <w:tmpl w:val="08A4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82E8B"/>
    <w:multiLevelType w:val="hybridMultilevel"/>
    <w:tmpl w:val="6E2C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B6A0B"/>
    <w:multiLevelType w:val="hybridMultilevel"/>
    <w:tmpl w:val="E3B078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A160CE"/>
    <w:multiLevelType w:val="hybridMultilevel"/>
    <w:tmpl w:val="19F4F1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387283"/>
    <w:multiLevelType w:val="hybridMultilevel"/>
    <w:tmpl w:val="C0DE8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3351E"/>
    <w:multiLevelType w:val="hybridMultilevel"/>
    <w:tmpl w:val="15CA6CB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6" w15:restartNumberingAfterBreak="0">
    <w:nsid w:val="693269B2"/>
    <w:multiLevelType w:val="hybridMultilevel"/>
    <w:tmpl w:val="B5120D6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DE2932"/>
    <w:multiLevelType w:val="hybridMultilevel"/>
    <w:tmpl w:val="5B3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783511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95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351419">
    <w:abstractNumId w:val="7"/>
  </w:num>
  <w:num w:numId="4" w16cid:durableId="154999237">
    <w:abstractNumId w:val="5"/>
  </w:num>
  <w:num w:numId="5" w16cid:durableId="1655602775">
    <w:abstractNumId w:val="4"/>
  </w:num>
  <w:num w:numId="6" w16cid:durableId="617955084">
    <w:abstractNumId w:val="6"/>
  </w:num>
  <w:num w:numId="7" w16cid:durableId="448550426">
    <w:abstractNumId w:val="2"/>
  </w:num>
  <w:num w:numId="8" w16cid:durableId="1337731160">
    <w:abstractNumId w:val="0"/>
  </w:num>
  <w:num w:numId="9" w16cid:durableId="12119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0A"/>
    <w:rsid w:val="00001644"/>
    <w:rsid w:val="00037AC0"/>
    <w:rsid w:val="00062144"/>
    <w:rsid w:val="00062751"/>
    <w:rsid w:val="00072B30"/>
    <w:rsid w:val="00093E81"/>
    <w:rsid w:val="000A0A20"/>
    <w:rsid w:val="000A47DF"/>
    <w:rsid w:val="000A71CC"/>
    <w:rsid w:val="000C2134"/>
    <w:rsid w:val="000C7DA6"/>
    <w:rsid w:val="00121878"/>
    <w:rsid w:val="0012773A"/>
    <w:rsid w:val="001801F9"/>
    <w:rsid w:val="00234EC0"/>
    <w:rsid w:val="00266A7D"/>
    <w:rsid w:val="00294561"/>
    <w:rsid w:val="002957B2"/>
    <w:rsid w:val="002C6A6A"/>
    <w:rsid w:val="003221D2"/>
    <w:rsid w:val="0032609E"/>
    <w:rsid w:val="0035305F"/>
    <w:rsid w:val="003628B1"/>
    <w:rsid w:val="003673E8"/>
    <w:rsid w:val="00384361"/>
    <w:rsid w:val="003A2723"/>
    <w:rsid w:val="003F6C82"/>
    <w:rsid w:val="0043227F"/>
    <w:rsid w:val="0044312C"/>
    <w:rsid w:val="00444B69"/>
    <w:rsid w:val="00450FC5"/>
    <w:rsid w:val="00460537"/>
    <w:rsid w:val="004716D9"/>
    <w:rsid w:val="00484A03"/>
    <w:rsid w:val="004A73AA"/>
    <w:rsid w:val="005154E3"/>
    <w:rsid w:val="0055417E"/>
    <w:rsid w:val="00560AF3"/>
    <w:rsid w:val="005651C5"/>
    <w:rsid w:val="00575423"/>
    <w:rsid w:val="00592304"/>
    <w:rsid w:val="005B299F"/>
    <w:rsid w:val="005C3510"/>
    <w:rsid w:val="005E0C66"/>
    <w:rsid w:val="005E1DF2"/>
    <w:rsid w:val="005F098A"/>
    <w:rsid w:val="005F3EE3"/>
    <w:rsid w:val="005F58EC"/>
    <w:rsid w:val="006027D2"/>
    <w:rsid w:val="00620CDB"/>
    <w:rsid w:val="006347BB"/>
    <w:rsid w:val="00635A45"/>
    <w:rsid w:val="00644184"/>
    <w:rsid w:val="00645D2D"/>
    <w:rsid w:val="00653A46"/>
    <w:rsid w:val="00672960"/>
    <w:rsid w:val="00684D9B"/>
    <w:rsid w:val="0068799C"/>
    <w:rsid w:val="006A59B9"/>
    <w:rsid w:val="006C38FE"/>
    <w:rsid w:val="006F1CEF"/>
    <w:rsid w:val="00720707"/>
    <w:rsid w:val="00731416"/>
    <w:rsid w:val="007735A3"/>
    <w:rsid w:val="007B5147"/>
    <w:rsid w:val="007C1B2B"/>
    <w:rsid w:val="007D1B7B"/>
    <w:rsid w:val="007F2EA7"/>
    <w:rsid w:val="00836BCB"/>
    <w:rsid w:val="00845A73"/>
    <w:rsid w:val="0085392B"/>
    <w:rsid w:val="0085435C"/>
    <w:rsid w:val="00880353"/>
    <w:rsid w:val="00893F75"/>
    <w:rsid w:val="00895DD2"/>
    <w:rsid w:val="008D6667"/>
    <w:rsid w:val="00904B9C"/>
    <w:rsid w:val="00905359"/>
    <w:rsid w:val="0091669D"/>
    <w:rsid w:val="00921563"/>
    <w:rsid w:val="0092363A"/>
    <w:rsid w:val="00924FE4"/>
    <w:rsid w:val="009476AB"/>
    <w:rsid w:val="009C3EB3"/>
    <w:rsid w:val="00A07774"/>
    <w:rsid w:val="00A14469"/>
    <w:rsid w:val="00A241B3"/>
    <w:rsid w:val="00A47029"/>
    <w:rsid w:val="00A91839"/>
    <w:rsid w:val="00AA1B6E"/>
    <w:rsid w:val="00AD7C9D"/>
    <w:rsid w:val="00AE5C78"/>
    <w:rsid w:val="00AF34F8"/>
    <w:rsid w:val="00AF4F2F"/>
    <w:rsid w:val="00B00365"/>
    <w:rsid w:val="00B07464"/>
    <w:rsid w:val="00B204AF"/>
    <w:rsid w:val="00B22F74"/>
    <w:rsid w:val="00B23A1F"/>
    <w:rsid w:val="00B3168C"/>
    <w:rsid w:val="00B51B43"/>
    <w:rsid w:val="00B54D93"/>
    <w:rsid w:val="00B81EDE"/>
    <w:rsid w:val="00B95BC5"/>
    <w:rsid w:val="00BB16D6"/>
    <w:rsid w:val="00C055DD"/>
    <w:rsid w:val="00C11954"/>
    <w:rsid w:val="00C5723A"/>
    <w:rsid w:val="00C57D08"/>
    <w:rsid w:val="00C60D5D"/>
    <w:rsid w:val="00C6108A"/>
    <w:rsid w:val="00C66D2A"/>
    <w:rsid w:val="00C75BE5"/>
    <w:rsid w:val="00C82AA4"/>
    <w:rsid w:val="00C95EC6"/>
    <w:rsid w:val="00C9610F"/>
    <w:rsid w:val="00CA67D3"/>
    <w:rsid w:val="00CC246E"/>
    <w:rsid w:val="00CC4E0E"/>
    <w:rsid w:val="00D05329"/>
    <w:rsid w:val="00D05B9A"/>
    <w:rsid w:val="00D46C1E"/>
    <w:rsid w:val="00D75E0E"/>
    <w:rsid w:val="00D813C3"/>
    <w:rsid w:val="00D967C1"/>
    <w:rsid w:val="00DB5D81"/>
    <w:rsid w:val="00DD4973"/>
    <w:rsid w:val="00DD590A"/>
    <w:rsid w:val="00DF200C"/>
    <w:rsid w:val="00DF2AA7"/>
    <w:rsid w:val="00E2535B"/>
    <w:rsid w:val="00E25DC8"/>
    <w:rsid w:val="00E27EF4"/>
    <w:rsid w:val="00E76CE3"/>
    <w:rsid w:val="00E858A7"/>
    <w:rsid w:val="00EC279A"/>
    <w:rsid w:val="00EE1A2E"/>
    <w:rsid w:val="00EE486E"/>
    <w:rsid w:val="00F00ED5"/>
    <w:rsid w:val="00F25648"/>
    <w:rsid w:val="00F52D21"/>
    <w:rsid w:val="00F545BA"/>
    <w:rsid w:val="00F81D8D"/>
    <w:rsid w:val="00FA7F0B"/>
    <w:rsid w:val="00FB2B15"/>
    <w:rsid w:val="00FB4433"/>
    <w:rsid w:val="00FB6C9A"/>
    <w:rsid w:val="00FB76AE"/>
    <w:rsid w:val="00FD3B14"/>
    <w:rsid w:val="00FD6DAC"/>
    <w:rsid w:val="00FE7B77"/>
    <w:rsid w:val="00FF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2ADD"/>
  <w15:chartTrackingRefBased/>
  <w15:docId w15:val="{4EDE5FC3-254F-4A62-AA36-2A8016F1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5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90A"/>
    <w:rPr>
      <w:sz w:val="20"/>
      <w:szCs w:val="20"/>
    </w:rPr>
  </w:style>
  <w:style w:type="character" w:styleId="FootnoteReference">
    <w:name w:val="footnote reference"/>
    <w:uiPriority w:val="99"/>
    <w:rsid w:val="00DD590A"/>
    <w:rPr>
      <w:rFonts w:ascii="Times New Roman" w:hAnsi="Times New Roman"/>
      <w:b/>
      <w:vertAlign w:val="baseline"/>
    </w:rPr>
  </w:style>
  <w:style w:type="paragraph" w:styleId="ListParagraph">
    <w:name w:val="List Paragraph"/>
    <w:basedOn w:val="Normal"/>
    <w:uiPriority w:val="34"/>
    <w:qFormat/>
    <w:rsid w:val="00B23A1F"/>
    <w:pPr>
      <w:spacing w:after="0" w:line="240" w:lineRule="auto"/>
      <w:ind w:left="720"/>
      <w:contextualSpacing/>
    </w:pPr>
  </w:style>
  <w:style w:type="character" w:styleId="Hyperlink">
    <w:name w:val="Hyperlink"/>
    <w:basedOn w:val="DefaultParagraphFont"/>
    <w:uiPriority w:val="99"/>
    <w:unhideWhenUsed/>
    <w:rsid w:val="00FA7F0B"/>
    <w:rPr>
      <w:color w:val="0563C1" w:themeColor="hyperlink"/>
      <w:u w:val="single"/>
    </w:rPr>
  </w:style>
  <w:style w:type="character" w:styleId="FollowedHyperlink">
    <w:name w:val="FollowedHyperlink"/>
    <w:basedOn w:val="DefaultParagraphFont"/>
    <w:uiPriority w:val="99"/>
    <w:semiHidden/>
    <w:unhideWhenUsed/>
    <w:rsid w:val="00895DD2"/>
    <w:rPr>
      <w:color w:val="954F72" w:themeColor="followedHyperlink"/>
      <w:u w:val="single"/>
    </w:rPr>
  </w:style>
  <w:style w:type="character" w:styleId="CommentReference">
    <w:name w:val="annotation reference"/>
    <w:basedOn w:val="DefaultParagraphFont"/>
    <w:uiPriority w:val="99"/>
    <w:semiHidden/>
    <w:unhideWhenUsed/>
    <w:rsid w:val="0091669D"/>
    <w:rPr>
      <w:sz w:val="16"/>
      <w:szCs w:val="16"/>
    </w:rPr>
  </w:style>
  <w:style w:type="paragraph" w:styleId="CommentText">
    <w:name w:val="annotation text"/>
    <w:basedOn w:val="Normal"/>
    <w:link w:val="CommentTextChar"/>
    <w:uiPriority w:val="99"/>
    <w:unhideWhenUsed/>
    <w:rsid w:val="0091669D"/>
    <w:pPr>
      <w:spacing w:line="240" w:lineRule="auto"/>
    </w:pPr>
    <w:rPr>
      <w:sz w:val="20"/>
      <w:szCs w:val="20"/>
    </w:rPr>
  </w:style>
  <w:style w:type="character" w:customStyle="1" w:styleId="CommentTextChar">
    <w:name w:val="Comment Text Char"/>
    <w:basedOn w:val="DefaultParagraphFont"/>
    <w:link w:val="CommentText"/>
    <w:uiPriority w:val="99"/>
    <w:rsid w:val="0091669D"/>
    <w:rPr>
      <w:sz w:val="20"/>
      <w:szCs w:val="20"/>
    </w:rPr>
  </w:style>
  <w:style w:type="paragraph" w:styleId="CommentSubject">
    <w:name w:val="annotation subject"/>
    <w:basedOn w:val="CommentText"/>
    <w:next w:val="CommentText"/>
    <w:link w:val="CommentSubjectChar"/>
    <w:uiPriority w:val="99"/>
    <w:semiHidden/>
    <w:unhideWhenUsed/>
    <w:rsid w:val="0091669D"/>
    <w:rPr>
      <w:b/>
      <w:bCs/>
    </w:rPr>
  </w:style>
  <w:style w:type="character" w:customStyle="1" w:styleId="CommentSubjectChar">
    <w:name w:val="Comment Subject Char"/>
    <w:basedOn w:val="CommentTextChar"/>
    <w:link w:val="CommentSubject"/>
    <w:uiPriority w:val="99"/>
    <w:semiHidden/>
    <w:rsid w:val="0091669D"/>
    <w:rPr>
      <w:b/>
      <w:bCs/>
      <w:sz w:val="20"/>
      <w:szCs w:val="20"/>
    </w:rPr>
  </w:style>
  <w:style w:type="paragraph" w:styleId="BalloonText">
    <w:name w:val="Balloon Text"/>
    <w:basedOn w:val="Normal"/>
    <w:link w:val="BalloonTextChar"/>
    <w:uiPriority w:val="99"/>
    <w:semiHidden/>
    <w:unhideWhenUsed/>
    <w:rsid w:val="00AF3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F8"/>
    <w:rPr>
      <w:rFonts w:ascii="Segoe UI" w:hAnsi="Segoe UI" w:cs="Segoe UI"/>
      <w:sz w:val="18"/>
      <w:szCs w:val="18"/>
    </w:rPr>
  </w:style>
  <w:style w:type="character" w:customStyle="1" w:styleId="UnresolvedMention1">
    <w:name w:val="Unresolved Mention1"/>
    <w:basedOn w:val="DefaultParagraphFont"/>
    <w:uiPriority w:val="99"/>
    <w:semiHidden/>
    <w:unhideWhenUsed/>
    <w:rsid w:val="005F58EC"/>
    <w:rPr>
      <w:color w:val="605E5C"/>
      <w:shd w:val="clear" w:color="auto" w:fill="E1DFDD"/>
    </w:rPr>
  </w:style>
  <w:style w:type="character" w:styleId="Strong">
    <w:name w:val="Strong"/>
    <w:uiPriority w:val="22"/>
    <w:qFormat/>
    <w:rsid w:val="00CC246E"/>
    <w:rPr>
      <w:b/>
      <w:bCs/>
    </w:rPr>
  </w:style>
  <w:style w:type="paragraph" w:styleId="NormalWeb">
    <w:name w:val="Normal (Web)"/>
    <w:basedOn w:val="Normal"/>
    <w:uiPriority w:val="99"/>
    <w:rsid w:val="00CC246E"/>
    <w:pPr>
      <w:suppressAutoHyphens/>
      <w:autoSpaceDN w:val="0"/>
      <w:spacing w:before="64" w:after="129" w:line="336" w:lineRule="atLeast"/>
      <w:textAlignment w:val="baseline"/>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AA1B6E"/>
    <w:rPr>
      <w:color w:val="605E5C"/>
      <w:shd w:val="clear" w:color="auto" w:fill="E1DFDD"/>
    </w:rPr>
  </w:style>
  <w:style w:type="paragraph" w:styleId="Header">
    <w:name w:val="header"/>
    <w:basedOn w:val="Normal"/>
    <w:link w:val="HeaderChar"/>
    <w:uiPriority w:val="99"/>
    <w:unhideWhenUsed/>
    <w:rsid w:val="00B2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4AF"/>
  </w:style>
  <w:style w:type="paragraph" w:styleId="Footer">
    <w:name w:val="footer"/>
    <w:basedOn w:val="Normal"/>
    <w:link w:val="FooterChar"/>
    <w:uiPriority w:val="99"/>
    <w:unhideWhenUsed/>
    <w:rsid w:val="00B2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4AF"/>
  </w:style>
  <w:style w:type="paragraph" w:styleId="EndnoteText">
    <w:name w:val="endnote text"/>
    <w:basedOn w:val="Normal"/>
    <w:link w:val="EndnoteTextChar"/>
    <w:uiPriority w:val="99"/>
    <w:semiHidden/>
    <w:unhideWhenUsed/>
    <w:rsid w:val="00A07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7774"/>
    <w:rPr>
      <w:sz w:val="20"/>
      <w:szCs w:val="20"/>
    </w:rPr>
  </w:style>
  <w:style w:type="character" w:styleId="EndnoteReference">
    <w:name w:val="endnote reference"/>
    <w:basedOn w:val="DefaultParagraphFont"/>
    <w:uiPriority w:val="99"/>
    <w:semiHidden/>
    <w:unhideWhenUsed/>
    <w:rsid w:val="00A07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multi-agency-public-protection-arrangements-mappa-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r01.safelinks.protection.outlook.com/?url=https%3A%2F%2Fwww.legislation.gov.uk%2Fukpga%2F2018%2F12%2Fschedule%2F2%2Fenacted&amp;data=05%7C02%7CBryan.Heard2%40south-wales.police.uk%7C9901ca91fcba460277fc08dd3472bc66%7C270c2f4dfd0c4f0892a9e5bdd8a87e09%7C0%7C0%7C638724389567984098%7CUnknown%7CTWFpbGZsb3d8eyJFbXB0eU1hcGkiOnRydWUsIlYiOiIwLjAuMDAwMCIsIlAiOiJXaW4zMiIsIkFOIjoiTWFpbCIsIldUIjoyfQ%3D%3D%7C0%7C%7C%7C&amp;sdata=BiYawPgHOkRz%2BkCq0L5BHR5VKRdaWuVj3VizZt6JjV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legislation.gov.uk%2Fukpga%2F1998%2F37%2Fsection%2F115%2Fenacted&amp;data=05%7C02%7CBryan.Heard2%40south-wales.police.uk%7C9901ca91fcba460277fc08dd3472bc66%7C270c2f4dfd0c4f0892a9e5bdd8a87e09%7C0%7C0%7C638724389567969126%7CUnknown%7CTWFpbGZsb3d8eyJFbXB0eU1hcGkiOnRydWUsIlYiOiIwLjAuMDAwMCIsIlAiOiJXaW4zMiIsIkFOIjoiTWFpbCIsIldUIjoyfQ%3D%3D%7C0%7C%7C%7C&amp;sdata=9eS9FIJPllsLgEpS%2B5%2FkVGvKIcIhQX0OgXhoCaI6iF4%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evere-mental-illness-smi-physical-health-inequalities/severe-mental-illness-and-physical-health-inequalities-briefing" TargetMode="External"/><Relationship Id="rId2" Type="http://schemas.openxmlformats.org/officeDocument/2006/relationships/hyperlink" Target="https://hmiprisons.justiceinspectorates.gov.uk/hmipris_reports/hmp-parc-3/" TargetMode="External"/><Relationship Id="rId1" Type="http://schemas.openxmlformats.org/officeDocument/2006/relationships/hyperlink" Target="https://hmiprisons.justiceinspectorates.gov.uk/hmipris_reports/hmp-parc/" TargetMode="External"/><Relationship Id="rId4" Type="http://schemas.openxmlformats.org/officeDocument/2006/relationships/hyperlink" Target="https://icdlist.com/icd-10/Z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27C90-E00A-4C01-9F16-B352725B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7639</Words>
  <Characters>39041</Characters>
  <Application>Microsoft Office Word</Application>
  <DocSecurity>0</DocSecurity>
  <Lines>709</Lines>
  <Paragraphs>241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Davies</dc:creator>
  <cp:keywords/>
  <dc:description/>
  <cp:lastModifiedBy>Heard,Bryan swp57128</cp:lastModifiedBy>
  <cp:revision>2</cp:revision>
  <dcterms:created xsi:type="dcterms:W3CDTF">2026-02-13T14:52:00Z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2025-01-07T12:47:31Z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771ffae8-9ab3-429a-b0c9-4d28e8883396</vt:lpwstr>
  </property>
  <property fmtid="{D5CDD505-2E9C-101B-9397-08002B2CF9AE}" pid="8" name="MSIP_Label_66cf8fe5-b7b7-4df7-b38d-1c61ac2f6639_ContentBits">
    <vt:lpwstr>0</vt:lpwstr>
  </property>
</Properties>
</file>